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827D58" w14:textId="77777777" w:rsidR="002900C0" w:rsidRDefault="002900C0" w:rsidP="000365E0">
      <w:pPr>
        <w:ind w:firstLine="0"/>
        <w:jc w:val="center"/>
      </w:pPr>
    </w:p>
    <w:p w14:paraId="5B0F756E" w14:textId="77777777" w:rsidR="00CC4B62" w:rsidRDefault="00CC4B62" w:rsidP="002900C0">
      <w:pPr>
        <w:ind w:left="5387" w:firstLine="0"/>
        <w:jc w:val="center"/>
      </w:pPr>
    </w:p>
    <w:p w14:paraId="7B18DC57" w14:textId="77777777" w:rsidR="002900C0" w:rsidRDefault="002900C0" w:rsidP="002900C0">
      <w:pPr>
        <w:ind w:left="5387" w:firstLine="0"/>
        <w:jc w:val="center"/>
      </w:pPr>
    </w:p>
    <w:p w14:paraId="03C9FE94" w14:textId="77777777" w:rsidR="002900C0" w:rsidRDefault="002900C0" w:rsidP="000365E0">
      <w:pPr>
        <w:ind w:firstLine="0"/>
        <w:jc w:val="center"/>
      </w:pPr>
    </w:p>
    <w:p w14:paraId="773828BD" w14:textId="77777777" w:rsidR="002900C0" w:rsidRDefault="002900C0" w:rsidP="000365E0">
      <w:pPr>
        <w:ind w:firstLine="0"/>
        <w:jc w:val="center"/>
      </w:pPr>
    </w:p>
    <w:p w14:paraId="407FC49C" w14:textId="77777777" w:rsidR="002900C0" w:rsidRDefault="002900C0" w:rsidP="000365E0">
      <w:pPr>
        <w:ind w:firstLine="0"/>
        <w:jc w:val="center"/>
      </w:pPr>
    </w:p>
    <w:p w14:paraId="00A66885" w14:textId="77777777" w:rsidR="002900C0" w:rsidRDefault="002900C0" w:rsidP="000365E0">
      <w:pPr>
        <w:ind w:firstLine="0"/>
        <w:jc w:val="center"/>
      </w:pPr>
    </w:p>
    <w:p w14:paraId="71AAF4EE" w14:textId="77777777" w:rsidR="0071592D" w:rsidRDefault="0004059E" w:rsidP="00F413E5">
      <w:pPr>
        <w:ind w:firstLine="0"/>
        <w:jc w:val="center"/>
        <w:rPr>
          <w:b/>
          <w:sz w:val="28"/>
        </w:rPr>
      </w:pPr>
      <w:r>
        <w:rPr>
          <w:b/>
          <w:sz w:val="28"/>
        </w:rPr>
        <w:t xml:space="preserve">ДОГОВОРЁННОСТЬ О ВЗАИМНОМ ПРИЗНАНИИ </w:t>
      </w:r>
    </w:p>
    <w:p w14:paraId="135696BA" w14:textId="34441B6F" w:rsidR="00F31C46" w:rsidRDefault="0004059E" w:rsidP="00F413E5">
      <w:pPr>
        <w:ind w:firstLine="0"/>
        <w:jc w:val="center"/>
        <w:rPr>
          <w:b/>
          <w:sz w:val="28"/>
        </w:rPr>
      </w:pPr>
      <w:r>
        <w:rPr>
          <w:b/>
          <w:sz w:val="28"/>
        </w:rPr>
        <w:t>ЕВРАЗИЙСКОГО СОТРУДНИЧЕСТВА ПО АККРЕДИТАЦИИ</w:t>
      </w:r>
      <w:r w:rsidR="00F31C46">
        <w:rPr>
          <w:b/>
          <w:sz w:val="28"/>
        </w:rPr>
        <w:t>:</w:t>
      </w:r>
    </w:p>
    <w:p w14:paraId="0B04739C" w14:textId="364729ED" w:rsidR="00095AFA" w:rsidRDefault="00757A65" w:rsidP="00F413E5">
      <w:pPr>
        <w:ind w:firstLine="0"/>
        <w:jc w:val="center"/>
        <w:rPr>
          <w:b/>
          <w:sz w:val="28"/>
        </w:rPr>
      </w:pPr>
      <w:r>
        <w:rPr>
          <w:b/>
          <w:sz w:val="28"/>
        </w:rPr>
        <w:t>ПРОЦЕДУРЫ И УПРАВЛЕНИЕ</w:t>
      </w:r>
      <w:r w:rsidR="00095AFA">
        <w:rPr>
          <w:b/>
          <w:sz w:val="28"/>
        </w:rPr>
        <w:t xml:space="preserve"> </w:t>
      </w:r>
    </w:p>
    <w:p w14:paraId="44D3F17A" w14:textId="77777777" w:rsidR="00095AFA" w:rsidRDefault="00095AFA" w:rsidP="002900C0">
      <w:pPr>
        <w:ind w:firstLine="0"/>
        <w:jc w:val="center"/>
        <w:rPr>
          <w:b/>
          <w:sz w:val="28"/>
        </w:rPr>
      </w:pPr>
    </w:p>
    <w:p w14:paraId="11E3B771" w14:textId="77777777" w:rsidR="00100C1A" w:rsidRDefault="00100C1A" w:rsidP="002900C0">
      <w:pPr>
        <w:ind w:firstLine="0"/>
        <w:jc w:val="center"/>
        <w:rPr>
          <w:b/>
          <w:sz w:val="28"/>
        </w:rPr>
      </w:pPr>
    </w:p>
    <w:p w14:paraId="68012B3C" w14:textId="77777777" w:rsidR="002900C0" w:rsidRDefault="002900C0" w:rsidP="000365E0">
      <w:pPr>
        <w:ind w:firstLine="0"/>
        <w:jc w:val="center"/>
      </w:pPr>
    </w:p>
    <w:p w14:paraId="0FE49E0D" w14:textId="77777777" w:rsidR="002900C0" w:rsidRDefault="002900C0" w:rsidP="000365E0">
      <w:pPr>
        <w:ind w:firstLine="0"/>
        <w:jc w:val="center"/>
      </w:pPr>
    </w:p>
    <w:p w14:paraId="509018DC" w14:textId="77777777" w:rsidR="002900C0" w:rsidRPr="00563476" w:rsidRDefault="002900C0" w:rsidP="000365E0">
      <w:pPr>
        <w:ind w:firstLine="0"/>
        <w:jc w:val="center"/>
      </w:pPr>
    </w:p>
    <w:p w14:paraId="43169C58" w14:textId="77777777" w:rsidR="002900C0" w:rsidRPr="00563476" w:rsidRDefault="002900C0" w:rsidP="000365E0">
      <w:pPr>
        <w:ind w:firstLine="0"/>
        <w:jc w:val="center"/>
      </w:pPr>
    </w:p>
    <w:p w14:paraId="5578AF70" w14:textId="77777777" w:rsidR="002900C0" w:rsidRDefault="002900C0" w:rsidP="000365E0">
      <w:pPr>
        <w:ind w:firstLine="0"/>
        <w:jc w:val="center"/>
      </w:pPr>
    </w:p>
    <w:p w14:paraId="11EF42DE" w14:textId="77777777" w:rsidR="00F413E5" w:rsidRDefault="00F413E5" w:rsidP="000365E0">
      <w:pPr>
        <w:ind w:firstLine="0"/>
        <w:jc w:val="center"/>
      </w:pPr>
      <w:r>
        <w:br w:type="page"/>
      </w:r>
    </w:p>
    <w:p w14:paraId="22E4F6B2" w14:textId="77777777" w:rsidR="00D03320" w:rsidRDefault="00D03320" w:rsidP="000365E0">
      <w:pPr>
        <w:ind w:firstLine="0"/>
        <w:jc w:val="center"/>
      </w:pPr>
    </w:p>
    <w:p w14:paraId="20353768" w14:textId="33DD4F83" w:rsidR="00F731F8" w:rsidRDefault="00F31C46" w:rsidP="00F31C46">
      <w:pPr>
        <w:pStyle w:val="ae"/>
        <w:tabs>
          <w:tab w:val="left" w:pos="6433"/>
        </w:tabs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ab/>
      </w:r>
    </w:p>
    <w:p w14:paraId="349B49F4" w14:textId="77777777" w:rsidR="00B14549" w:rsidRDefault="00B14549" w:rsidP="00B14549">
      <w:pPr>
        <w:pStyle w:val="ae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</w:t>
      </w:r>
      <w:r w:rsidR="00D03320">
        <w:rPr>
          <w:rFonts w:ascii="Times New Roman" w:hAnsi="Times New Roman"/>
          <w:b/>
          <w:color w:val="000000"/>
          <w:sz w:val="24"/>
          <w:szCs w:val="24"/>
        </w:rPr>
        <w:t>одержание</w:t>
      </w:r>
    </w:p>
    <w:p w14:paraId="4470DFD2" w14:textId="77777777" w:rsidR="00F731F8" w:rsidRPr="00F731F8" w:rsidRDefault="00F731F8" w:rsidP="00F731F8">
      <w:pPr>
        <w:rPr>
          <w:lang w:eastAsia="ru-RU"/>
        </w:rPr>
      </w:pPr>
    </w:p>
    <w:sdt>
      <w:sdtPr>
        <w:id w:val="-18719145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5BEEC17" w14:textId="77777777" w:rsidR="00B02F69" w:rsidRDefault="00697D2C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84490141" w:history="1">
            <w:r w:rsidR="00B02F69" w:rsidRPr="000713AF">
              <w:rPr>
                <w:rStyle w:val="af"/>
                <w:rFonts w:cs="Times New Roman"/>
                <w:noProof/>
              </w:rPr>
              <w:t>1</w:t>
            </w:r>
            <w:r w:rsidR="00B02F69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B02F69" w:rsidRPr="000713AF">
              <w:rPr>
                <w:rStyle w:val="af"/>
                <w:rFonts w:cs="Times New Roman"/>
                <w:noProof/>
              </w:rPr>
              <w:t>Область применения</w:t>
            </w:r>
            <w:r w:rsidR="00B02F69">
              <w:rPr>
                <w:noProof/>
                <w:webHidden/>
              </w:rPr>
              <w:tab/>
            </w:r>
            <w:r w:rsidR="00B02F69">
              <w:rPr>
                <w:noProof/>
                <w:webHidden/>
              </w:rPr>
              <w:fldChar w:fldCharType="begin"/>
            </w:r>
            <w:r w:rsidR="00B02F69">
              <w:rPr>
                <w:noProof/>
                <w:webHidden/>
              </w:rPr>
              <w:instrText xml:space="preserve"> PAGEREF _Toc84490141 \h </w:instrText>
            </w:r>
            <w:r w:rsidR="00B02F69">
              <w:rPr>
                <w:noProof/>
                <w:webHidden/>
              </w:rPr>
            </w:r>
            <w:r w:rsidR="00B02F69">
              <w:rPr>
                <w:noProof/>
                <w:webHidden/>
              </w:rPr>
              <w:fldChar w:fldCharType="separate"/>
            </w:r>
            <w:r w:rsidR="00B02F69">
              <w:rPr>
                <w:noProof/>
                <w:webHidden/>
              </w:rPr>
              <w:t>3</w:t>
            </w:r>
            <w:r w:rsidR="00B02F69">
              <w:rPr>
                <w:noProof/>
                <w:webHidden/>
              </w:rPr>
              <w:fldChar w:fldCharType="end"/>
            </w:r>
          </w:hyperlink>
        </w:p>
        <w:p w14:paraId="387420B2" w14:textId="77777777" w:rsidR="00B02F69" w:rsidRDefault="000F04EB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4490142" w:history="1">
            <w:r w:rsidR="00B02F69" w:rsidRPr="000713AF">
              <w:rPr>
                <w:rStyle w:val="af"/>
                <w:rFonts w:cs="Times New Roman"/>
                <w:noProof/>
              </w:rPr>
              <w:t>2</w:t>
            </w:r>
            <w:r w:rsidR="00B02F69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B02F69" w:rsidRPr="000713AF">
              <w:rPr>
                <w:rStyle w:val="af"/>
                <w:rFonts w:cs="Times New Roman"/>
                <w:noProof/>
              </w:rPr>
              <w:t>Сокращения, термины и определения</w:t>
            </w:r>
            <w:r w:rsidR="00B02F69">
              <w:rPr>
                <w:noProof/>
                <w:webHidden/>
              </w:rPr>
              <w:tab/>
            </w:r>
            <w:r w:rsidR="00B02F69">
              <w:rPr>
                <w:noProof/>
                <w:webHidden/>
              </w:rPr>
              <w:fldChar w:fldCharType="begin"/>
            </w:r>
            <w:r w:rsidR="00B02F69">
              <w:rPr>
                <w:noProof/>
                <w:webHidden/>
              </w:rPr>
              <w:instrText xml:space="preserve"> PAGEREF _Toc84490142 \h </w:instrText>
            </w:r>
            <w:r w:rsidR="00B02F69">
              <w:rPr>
                <w:noProof/>
                <w:webHidden/>
              </w:rPr>
            </w:r>
            <w:r w:rsidR="00B02F69">
              <w:rPr>
                <w:noProof/>
                <w:webHidden/>
              </w:rPr>
              <w:fldChar w:fldCharType="separate"/>
            </w:r>
            <w:r w:rsidR="00B02F69">
              <w:rPr>
                <w:noProof/>
                <w:webHidden/>
              </w:rPr>
              <w:t>3</w:t>
            </w:r>
            <w:r w:rsidR="00B02F69">
              <w:rPr>
                <w:noProof/>
                <w:webHidden/>
              </w:rPr>
              <w:fldChar w:fldCharType="end"/>
            </w:r>
          </w:hyperlink>
        </w:p>
        <w:p w14:paraId="5A172DB2" w14:textId="77777777" w:rsidR="00B02F69" w:rsidRDefault="000F04EB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4490143" w:history="1">
            <w:r w:rsidR="00B02F69" w:rsidRPr="000713AF">
              <w:rPr>
                <w:rStyle w:val="af"/>
                <w:rFonts w:cs="Times New Roman"/>
                <w:noProof/>
              </w:rPr>
              <w:t>3</w:t>
            </w:r>
            <w:r w:rsidR="00B02F69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B02F69" w:rsidRPr="000713AF">
              <w:rPr>
                <w:rStyle w:val="af"/>
                <w:rFonts w:cs="Times New Roman"/>
                <w:noProof/>
              </w:rPr>
              <w:t>Нормативные ссылки и источники</w:t>
            </w:r>
            <w:r w:rsidR="00B02F69">
              <w:rPr>
                <w:noProof/>
                <w:webHidden/>
              </w:rPr>
              <w:tab/>
            </w:r>
            <w:r w:rsidR="00B02F69">
              <w:rPr>
                <w:noProof/>
                <w:webHidden/>
              </w:rPr>
              <w:fldChar w:fldCharType="begin"/>
            </w:r>
            <w:r w:rsidR="00B02F69">
              <w:rPr>
                <w:noProof/>
                <w:webHidden/>
              </w:rPr>
              <w:instrText xml:space="preserve"> PAGEREF _Toc84490143 \h </w:instrText>
            </w:r>
            <w:r w:rsidR="00B02F69">
              <w:rPr>
                <w:noProof/>
                <w:webHidden/>
              </w:rPr>
            </w:r>
            <w:r w:rsidR="00B02F69">
              <w:rPr>
                <w:noProof/>
                <w:webHidden/>
              </w:rPr>
              <w:fldChar w:fldCharType="separate"/>
            </w:r>
            <w:r w:rsidR="00B02F69">
              <w:rPr>
                <w:noProof/>
                <w:webHidden/>
              </w:rPr>
              <w:t>3</w:t>
            </w:r>
            <w:r w:rsidR="00B02F69">
              <w:rPr>
                <w:noProof/>
                <w:webHidden/>
              </w:rPr>
              <w:fldChar w:fldCharType="end"/>
            </w:r>
          </w:hyperlink>
        </w:p>
        <w:p w14:paraId="4640E81F" w14:textId="77777777" w:rsidR="00B02F69" w:rsidRDefault="000F04EB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4490144" w:history="1">
            <w:r w:rsidR="00B02F69" w:rsidRPr="000713AF">
              <w:rPr>
                <w:rStyle w:val="af"/>
                <w:rFonts w:cs="Times New Roman"/>
                <w:noProof/>
              </w:rPr>
              <w:t>4</w:t>
            </w:r>
            <w:r w:rsidR="00B02F69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B02F69" w:rsidRPr="000713AF">
              <w:rPr>
                <w:rStyle w:val="af"/>
                <w:rFonts w:cs="Times New Roman"/>
                <w:noProof/>
              </w:rPr>
              <w:t>Общие положения</w:t>
            </w:r>
            <w:r w:rsidR="00B02F69">
              <w:rPr>
                <w:noProof/>
                <w:webHidden/>
              </w:rPr>
              <w:tab/>
            </w:r>
            <w:r w:rsidR="00B02F69">
              <w:rPr>
                <w:noProof/>
                <w:webHidden/>
              </w:rPr>
              <w:fldChar w:fldCharType="begin"/>
            </w:r>
            <w:r w:rsidR="00B02F69">
              <w:rPr>
                <w:noProof/>
                <w:webHidden/>
              </w:rPr>
              <w:instrText xml:space="preserve"> PAGEREF _Toc84490144 \h </w:instrText>
            </w:r>
            <w:r w:rsidR="00B02F69">
              <w:rPr>
                <w:noProof/>
                <w:webHidden/>
              </w:rPr>
            </w:r>
            <w:r w:rsidR="00B02F69">
              <w:rPr>
                <w:noProof/>
                <w:webHidden/>
              </w:rPr>
              <w:fldChar w:fldCharType="separate"/>
            </w:r>
            <w:r w:rsidR="00B02F69">
              <w:rPr>
                <w:noProof/>
                <w:webHidden/>
              </w:rPr>
              <w:t>4</w:t>
            </w:r>
            <w:r w:rsidR="00B02F69">
              <w:rPr>
                <w:noProof/>
                <w:webHidden/>
              </w:rPr>
              <w:fldChar w:fldCharType="end"/>
            </w:r>
          </w:hyperlink>
        </w:p>
        <w:p w14:paraId="4315BAAA" w14:textId="77777777" w:rsidR="00B02F69" w:rsidRDefault="000F04EB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4490145" w:history="1">
            <w:r w:rsidR="00B02F69" w:rsidRPr="000713AF">
              <w:rPr>
                <w:rStyle w:val="af"/>
                <w:rFonts w:cs="Times New Roman"/>
                <w:noProof/>
              </w:rPr>
              <w:t>5</w:t>
            </w:r>
            <w:r w:rsidR="00B02F69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B02F69" w:rsidRPr="000713AF">
              <w:rPr>
                <w:rStyle w:val="af"/>
                <w:rFonts w:cs="Times New Roman"/>
                <w:noProof/>
              </w:rPr>
              <w:t>Функционирование Договорённости о взаимном признании</w:t>
            </w:r>
            <w:r w:rsidR="00B02F69">
              <w:rPr>
                <w:noProof/>
                <w:webHidden/>
              </w:rPr>
              <w:tab/>
            </w:r>
            <w:r w:rsidR="00B02F69">
              <w:rPr>
                <w:noProof/>
                <w:webHidden/>
              </w:rPr>
              <w:fldChar w:fldCharType="begin"/>
            </w:r>
            <w:r w:rsidR="00B02F69">
              <w:rPr>
                <w:noProof/>
                <w:webHidden/>
              </w:rPr>
              <w:instrText xml:space="preserve"> PAGEREF _Toc84490145 \h </w:instrText>
            </w:r>
            <w:r w:rsidR="00B02F69">
              <w:rPr>
                <w:noProof/>
                <w:webHidden/>
              </w:rPr>
            </w:r>
            <w:r w:rsidR="00B02F69">
              <w:rPr>
                <w:noProof/>
                <w:webHidden/>
              </w:rPr>
              <w:fldChar w:fldCharType="separate"/>
            </w:r>
            <w:r w:rsidR="00B02F69">
              <w:rPr>
                <w:noProof/>
                <w:webHidden/>
              </w:rPr>
              <w:t>4</w:t>
            </w:r>
            <w:r w:rsidR="00B02F69">
              <w:rPr>
                <w:noProof/>
                <w:webHidden/>
              </w:rPr>
              <w:fldChar w:fldCharType="end"/>
            </w:r>
          </w:hyperlink>
        </w:p>
        <w:p w14:paraId="33A6D796" w14:textId="77777777" w:rsidR="00B02F69" w:rsidRDefault="000F04EB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4490146" w:history="1">
            <w:r w:rsidR="00B02F69" w:rsidRPr="000713AF">
              <w:rPr>
                <w:rStyle w:val="af"/>
                <w:rFonts w:cs="Times New Roman"/>
                <w:noProof/>
              </w:rPr>
              <w:t>6</w:t>
            </w:r>
            <w:r w:rsidR="00B02F69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B02F69" w:rsidRPr="000713AF">
              <w:rPr>
                <w:rStyle w:val="af"/>
                <w:rFonts w:cs="Times New Roman"/>
                <w:noProof/>
              </w:rPr>
              <w:t>Расходы на проведение оценки</w:t>
            </w:r>
            <w:r w:rsidR="00B02F69">
              <w:rPr>
                <w:noProof/>
                <w:webHidden/>
              </w:rPr>
              <w:tab/>
            </w:r>
            <w:r w:rsidR="00B02F69">
              <w:rPr>
                <w:noProof/>
                <w:webHidden/>
              </w:rPr>
              <w:fldChar w:fldCharType="begin"/>
            </w:r>
            <w:r w:rsidR="00B02F69">
              <w:rPr>
                <w:noProof/>
                <w:webHidden/>
              </w:rPr>
              <w:instrText xml:space="preserve"> PAGEREF _Toc84490146 \h </w:instrText>
            </w:r>
            <w:r w:rsidR="00B02F69">
              <w:rPr>
                <w:noProof/>
                <w:webHidden/>
              </w:rPr>
            </w:r>
            <w:r w:rsidR="00B02F69">
              <w:rPr>
                <w:noProof/>
                <w:webHidden/>
              </w:rPr>
              <w:fldChar w:fldCharType="separate"/>
            </w:r>
            <w:r w:rsidR="00B02F69">
              <w:rPr>
                <w:noProof/>
                <w:webHidden/>
              </w:rPr>
              <w:t>7</w:t>
            </w:r>
            <w:r w:rsidR="00B02F69">
              <w:rPr>
                <w:noProof/>
                <w:webHidden/>
              </w:rPr>
              <w:fldChar w:fldCharType="end"/>
            </w:r>
          </w:hyperlink>
        </w:p>
        <w:p w14:paraId="22A96871" w14:textId="77777777" w:rsidR="00B02F69" w:rsidRDefault="000F04EB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4490147" w:history="1">
            <w:r w:rsidR="00B02F69" w:rsidRPr="000713AF">
              <w:rPr>
                <w:rStyle w:val="af"/>
                <w:rFonts w:cs="Times New Roman"/>
                <w:noProof/>
              </w:rPr>
              <w:t>7</w:t>
            </w:r>
            <w:r w:rsidR="00B02F69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B02F69" w:rsidRPr="000713AF">
              <w:rPr>
                <w:rStyle w:val="af"/>
                <w:rFonts w:cs="Times New Roman"/>
                <w:noProof/>
              </w:rPr>
              <w:t>Авторские права</w:t>
            </w:r>
            <w:r w:rsidR="00B02F69">
              <w:rPr>
                <w:noProof/>
                <w:webHidden/>
              </w:rPr>
              <w:tab/>
            </w:r>
            <w:r w:rsidR="00B02F69">
              <w:rPr>
                <w:noProof/>
                <w:webHidden/>
              </w:rPr>
              <w:fldChar w:fldCharType="begin"/>
            </w:r>
            <w:r w:rsidR="00B02F69">
              <w:rPr>
                <w:noProof/>
                <w:webHidden/>
              </w:rPr>
              <w:instrText xml:space="preserve"> PAGEREF _Toc84490147 \h </w:instrText>
            </w:r>
            <w:r w:rsidR="00B02F69">
              <w:rPr>
                <w:noProof/>
                <w:webHidden/>
              </w:rPr>
            </w:r>
            <w:r w:rsidR="00B02F69">
              <w:rPr>
                <w:noProof/>
                <w:webHidden/>
              </w:rPr>
              <w:fldChar w:fldCharType="separate"/>
            </w:r>
            <w:r w:rsidR="00B02F69">
              <w:rPr>
                <w:noProof/>
                <w:webHidden/>
              </w:rPr>
              <w:t>8</w:t>
            </w:r>
            <w:r w:rsidR="00B02F69">
              <w:rPr>
                <w:noProof/>
                <w:webHidden/>
              </w:rPr>
              <w:fldChar w:fldCharType="end"/>
            </w:r>
          </w:hyperlink>
        </w:p>
        <w:p w14:paraId="3A7B3B07" w14:textId="77777777" w:rsidR="00697D2C" w:rsidRDefault="00697D2C" w:rsidP="00117432">
          <w:pPr>
            <w:ind w:firstLine="0"/>
          </w:pPr>
          <w:r>
            <w:rPr>
              <w:b/>
              <w:bCs/>
            </w:rPr>
            <w:fldChar w:fldCharType="end"/>
          </w:r>
        </w:p>
      </w:sdtContent>
    </w:sdt>
    <w:p w14:paraId="249454C9" w14:textId="77777777" w:rsidR="00F731F8" w:rsidRDefault="00F731F8" w:rsidP="00F731F8">
      <w:pPr>
        <w:pStyle w:val="1"/>
        <w:spacing w:before="120" w:after="120" w:line="360" w:lineRule="auto"/>
        <w:ind w:left="993"/>
        <w:rPr>
          <w:rFonts w:ascii="Times New Roman" w:hAnsi="Times New Roman" w:cs="Times New Roman"/>
          <w:sz w:val="24"/>
          <w:szCs w:val="24"/>
        </w:rPr>
      </w:pPr>
    </w:p>
    <w:p w14:paraId="6985634E" w14:textId="77777777" w:rsidR="00F731F8" w:rsidRDefault="00F731F8" w:rsidP="00F731F8">
      <w:pPr>
        <w:rPr>
          <w:lang w:eastAsia="ru-RU"/>
        </w:rPr>
      </w:pPr>
    </w:p>
    <w:p w14:paraId="3D3FA1B2" w14:textId="77777777" w:rsidR="00F731F8" w:rsidRDefault="00F731F8" w:rsidP="00F731F8">
      <w:pPr>
        <w:rPr>
          <w:lang w:eastAsia="ru-RU"/>
        </w:rPr>
      </w:pPr>
    </w:p>
    <w:p w14:paraId="4D2AF4E4" w14:textId="77777777" w:rsidR="00F731F8" w:rsidRDefault="00F731F8" w:rsidP="00F731F8">
      <w:pPr>
        <w:rPr>
          <w:lang w:eastAsia="ru-RU"/>
        </w:rPr>
      </w:pPr>
    </w:p>
    <w:p w14:paraId="0401B6C2" w14:textId="77777777" w:rsidR="00F731F8" w:rsidRDefault="00F731F8" w:rsidP="00F731F8">
      <w:pPr>
        <w:rPr>
          <w:lang w:eastAsia="ru-RU"/>
        </w:rPr>
      </w:pPr>
    </w:p>
    <w:p w14:paraId="50CCE17B" w14:textId="77777777" w:rsidR="006C560D" w:rsidRDefault="006C560D" w:rsidP="00F731F8">
      <w:pPr>
        <w:rPr>
          <w:lang w:eastAsia="ru-RU"/>
        </w:rPr>
      </w:pPr>
      <w:r>
        <w:rPr>
          <w:lang w:eastAsia="ru-RU"/>
        </w:rPr>
        <w:br w:type="page"/>
      </w:r>
    </w:p>
    <w:p w14:paraId="5EF2FD94" w14:textId="77777777" w:rsidR="00697D2C" w:rsidRPr="00697D2C" w:rsidRDefault="00697D2C" w:rsidP="00117432">
      <w:pPr>
        <w:pStyle w:val="1"/>
        <w:numPr>
          <w:ilvl w:val="0"/>
          <w:numId w:val="5"/>
        </w:numPr>
        <w:spacing w:before="120" w:after="120" w:line="36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bookmarkStart w:id="0" w:name="_Toc528239848"/>
      <w:bookmarkStart w:id="1" w:name="_Toc84490141"/>
      <w:r w:rsidRPr="00697D2C">
        <w:rPr>
          <w:rFonts w:ascii="Times New Roman" w:hAnsi="Times New Roman" w:cs="Times New Roman"/>
          <w:sz w:val="24"/>
          <w:szCs w:val="24"/>
        </w:rPr>
        <w:lastRenderedPageBreak/>
        <w:t>Область применения</w:t>
      </w:r>
      <w:bookmarkEnd w:id="0"/>
      <w:bookmarkEnd w:id="1"/>
      <w:r w:rsidRPr="00697D2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DE7D51" w14:textId="2F6E6BDD" w:rsidR="00416504" w:rsidRDefault="00416504" w:rsidP="00416504">
      <w:pPr>
        <w:pStyle w:val="aa"/>
        <w:spacing w:line="360" w:lineRule="auto"/>
        <w:rPr>
          <w:sz w:val="24"/>
          <w:lang w:val="ru-RU"/>
        </w:rPr>
      </w:pPr>
      <w:r w:rsidRPr="00416504">
        <w:rPr>
          <w:sz w:val="24"/>
          <w:lang w:val="ru-RU"/>
        </w:rPr>
        <w:t xml:space="preserve">Данный документ описывает </w:t>
      </w:r>
      <w:r w:rsidR="000A5D05">
        <w:rPr>
          <w:sz w:val="24"/>
          <w:lang w:val="ru-RU"/>
        </w:rPr>
        <w:t xml:space="preserve">процедуры, касающиеся </w:t>
      </w:r>
      <w:r w:rsidR="00AA70B5">
        <w:rPr>
          <w:sz w:val="24"/>
          <w:lang w:val="ru-RU"/>
        </w:rPr>
        <w:t>поддержания</w:t>
      </w:r>
      <w:r w:rsidRPr="00416504">
        <w:rPr>
          <w:sz w:val="24"/>
          <w:lang w:val="ru-RU"/>
        </w:rPr>
        <w:t xml:space="preserve"> </w:t>
      </w:r>
      <w:r w:rsidR="0071592D">
        <w:rPr>
          <w:sz w:val="24"/>
          <w:lang w:val="ru-RU"/>
        </w:rPr>
        <w:t>Договорённости</w:t>
      </w:r>
      <w:r w:rsidRPr="00416504">
        <w:rPr>
          <w:sz w:val="24"/>
          <w:lang w:val="ru-RU"/>
        </w:rPr>
        <w:t xml:space="preserve"> о взаимном признании </w:t>
      </w:r>
      <w:r w:rsidR="0071592D">
        <w:rPr>
          <w:sz w:val="24"/>
          <w:lang w:val="ru-RU"/>
        </w:rPr>
        <w:t>Евразийского сотрудничества по аккредитации</w:t>
      </w:r>
      <w:r w:rsidR="000A5D05">
        <w:rPr>
          <w:sz w:val="24"/>
          <w:lang w:val="ru-RU"/>
        </w:rPr>
        <w:t>.</w:t>
      </w:r>
      <w:r w:rsidRPr="00416504">
        <w:rPr>
          <w:sz w:val="24"/>
          <w:lang w:val="ru-RU"/>
        </w:rPr>
        <w:t xml:space="preserve"> </w:t>
      </w:r>
    </w:p>
    <w:p w14:paraId="7508F9E9" w14:textId="77777777" w:rsidR="00B516F5" w:rsidRPr="00416504" w:rsidRDefault="00B516F5" w:rsidP="00416504">
      <w:pPr>
        <w:pStyle w:val="aa"/>
        <w:spacing w:line="360" w:lineRule="auto"/>
        <w:rPr>
          <w:sz w:val="24"/>
          <w:lang w:val="ru-RU"/>
        </w:rPr>
      </w:pPr>
    </w:p>
    <w:p w14:paraId="1611E1F6" w14:textId="29603427" w:rsidR="00B14549" w:rsidRDefault="005E7E91" w:rsidP="00117432">
      <w:pPr>
        <w:pStyle w:val="1"/>
        <w:numPr>
          <w:ilvl w:val="0"/>
          <w:numId w:val="5"/>
        </w:numPr>
        <w:spacing w:before="120" w:after="120" w:line="36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bookmarkStart w:id="2" w:name="_Toc84490142"/>
      <w:r>
        <w:rPr>
          <w:rFonts w:ascii="Times New Roman" w:hAnsi="Times New Roman" w:cs="Times New Roman"/>
          <w:sz w:val="24"/>
          <w:szCs w:val="24"/>
        </w:rPr>
        <w:t>Сокращения, термины и определения</w:t>
      </w:r>
      <w:bookmarkEnd w:id="2"/>
    </w:p>
    <w:p w14:paraId="4716618D" w14:textId="109B767C" w:rsidR="000F5AA4" w:rsidRPr="000F5AA4" w:rsidRDefault="000F5AA4" w:rsidP="000F5AA4">
      <w:pPr>
        <w:jc w:val="both"/>
        <w:rPr>
          <w:lang w:eastAsia="ru-RU"/>
        </w:rPr>
      </w:pPr>
      <w:r>
        <w:rPr>
          <w:lang w:eastAsia="ru-RU"/>
        </w:rPr>
        <w:t>В данном документе используются сокращения</w:t>
      </w:r>
      <w:r w:rsidR="0071592D">
        <w:rPr>
          <w:lang w:eastAsia="ru-RU"/>
        </w:rPr>
        <w:t xml:space="preserve"> и термины, соответствующие понятийному аппарату </w:t>
      </w:r>
      <w:r w:rsidR="00392A65">
        <w:rPr>
          <w:lang w:eastAsia="ru-RU"/>
        </w:rPr>
        <w:t xml:space="preserve">стандарта </w:t>
      </w:r>
      <w:r w:rsidR="00392A65">
        <w:rPr>
          <w:lang w:val="en-US" w:eastAsia="ru-RU"/>
        </w:rPr>
        <w:t>ISO</w:t>
      </w:r>
      <w:r w:rsidR="00392A65" w:rsidRPr="00392A65">
        <w:rPr>
          <w:lang w:eastAsia="ru-RU"/>
        </w:rPr>
        <w:t>/</w:t>
      </w:r>
      <w:r w:rsidR="00392A65">
        <w:rPr>
          <w:lang w:val="en-US" w:eastAsia="ru-RU"/>
        </w:rPr>
        <w:t>IEC</w:t>
      </w:r>
      <w:r w:rsidR="00392A65" w:rsidRPr="00392A65">
        <w:rPr>
          <w:lang w:eastAsia="ru-RU"/>
        </w:rPr>
        <w:t xml:space="preserve"> 17011</w:t>
      </w:r>
      <w:r w:rsidR="00392A65">
        <w:rPr>
          <w:lang w:eastAsia="ru-RU"/>
        </w:rPr>
        <w:t xml:space="preserve"> «Оценка соответствия – Требования к органам по аккредитации, аккредитующим органы по оценке соответствия», а также </w:t>
      </w:r>
      <w:r w:rsidR="0071592D">
        <w:rPr>
          <w:lang w:eastAsia="ru-RU"/>
        </w:rPr>
        <w:t>Устава Евразийского сотрудничества по аккредитации.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2082"/>
        <w:gridCol w:w="7274"/>
      </w:tblGrid>
      <w:tr w:rsidR="000F5AA4" w14:paraId="52DBE625" w14:textId="77777777" w:rsidTr="000F5AA4">
        <w:tc>
          <w:tcPr>
            <w:tcW w:w="2082" w:type="dxa"/>
            <w:shd w:val="clear" w:color="auto" w:fill="auto"/>
          </w:tcPr>
          <w:p w14:paraId="40A92721" w14:textId="227CCA5F" w:rsidR="000F5AA4" w:rsidRPr="00C0176B" w:rsidRDefault="00392A65" w:rsidP="00697D2C">
            <w:pPr>
              <w:pStyle w:val="aa"/>
              <w:spacing w:line="360" w:lineRule="auto"/>
              <w:ind w:firstLine="0"/>
              <w:jc w:val="left"/>
              <w:rPr>
                <w:sz w:val="24"/>
                <w:lang w:val="ru-RU"/>
              </w:rPr>
            </w:pPr>
            <w:r w:rsidRPr="00C0176B">
              <w:rPr>
                <w:sz w:val="24"/>
                <w:lang w:val="ru-RU"/>
              </w:rPr>
              <w:t>ОА</w:t>
            </w:r>
          </w:p>
        </w:tc>
        <w:tc>
          <w:tcPr>
            <w:tcW w:w="7274" w:type="dxa"/>
            <w:shd w:val="clear" w:color="auto" w:fill="auto"/>
          </w:tcPr>
          <w:p w14:paraId="344EECB7" w14:textId="286C5330" w:rsidR="000F5AA4" w:rsidRPr="00C0176B" w:rsidRDefault="00392A65" w:rsidP="007E5C5A">
            <w:pPr>
              <w:pStyle w:val="aa"/>
              <w:numPr>
                <w:ilvl w:val="0"/>
                <w:numId w:val="2"/>
              </w:numPr>
              <w:spacing w:line="360" w:lineRule="auto"/>
              <w:ind w:left="318" w:hanging="283"/>
              <w:rPr>
                <w:sz w:val="24"/>
                <w:lang w:val="ru-RU"/>
              </w:rPr>
            </w:pPr>
            <w:r w:rsidRPr="00C0176B">
              <w:rPr>
                <w:sz w:val="24"/>
                <w:lang w:val="ru-RU"/>
              </w:rPr>
              <w:t>Орган по аккредитации (уполномоченный орган, который проводит аккредитацию)</w:t>
            </w:r>
            <w:r w:rsidR="000F5AA4" w:rsidRPr="00C0176B">
              <w:rPr>
                <w:sz w:val="24"/>
                <w:lang w:val="ru-RU"/>
              </w:rPr>
              <w:t>.</w:t>
            </w:r>
          </w:p>
        </w:tc>
      </w:tr>
      <w:tr w:rsidR="00392A65" w14:paraId="5333D6BB" w14:textId="77777777" w:rsidTr="000F5AA4">
        <w:tc>
          <w:tcPr>
            <w:tcW w:w="2082" w:type="dxa"/>
            <w:shd w:val="clear" w:color="auto" w:fill="auto"/>
          </w:tcPr>
          <w:p w14:paraId="64A480C9" w14:textId="3CE5E3A3" w:rsidR="00392A65" w:rsidRPr="00C0176B" w:rsidRDefault="00392A65" w:rsidP="00697D2C">
            <w:pPr>
              <w:pStyle w:val="aa"/>
              <w:spacing w:line="360" w:lineRule="auto"/>
              <w:ind w:firstLine="0"/>
              <w:jc w:val="left"/>
              <w:rPr>
                <w:sz w:val="24"/>
                <w:lang w:val="ru-RU"/>
              </w:rPr>
            </w:pPr>
            <w:r w:rsidRPr="00C0176B">
              <w:rPr>
                <w:sz w:val="24"/>
                <w:lang w:val="ru-RU"/>
              </w:rPr>
              <w:t>ООС</w:t>
            </w:r>
          </w:p>
        </w:tc>
        <w:tc>
          <w:tcPr>
            <w:tcW w:w="7274" w:type="dxa"/>
            <w:shd w:val="clear" w:color="auto" w:fill="auto"/>
          </w:tcPr>
          <w:p w14:paraId="15ED7F28" w14:textId="3DD6398B" w:rsidR="00392A65" w:rsidRPr="00C0176B" w:rsidRDefault="00392A65" w:rsidP="007E5C5A">
            <w:pPr>
              <w:pStyle w:val="aa"/>
              <w:numPr>
                <w:ilvl w:val="0"/>
                <w:numId w:val="2"/>
              </w:numPr>
              <w:spacing w:line="360" w:lineRule="auto"/>
              <w:ind w:left="318" w:hanging="283"/>
              <w:rPr>
                <w:sz w:val="24"/>
                <w:lang w:val="ru-RU"/>
              </w:rPr>
            </w:pPr>
            <w:r w:rsidRPr="00C0176B">
              <w:rPr>
                <w:sz w:val="24"/>
                <w:lang w:val="ru-RU"/>
              </w:rPr>
              <w:t>Орган по оценке соответствия (</w:t>
            </w:r>
            <w:r w:rsidR="003D2362" w:rsidRPr="00C0176B">
              <w:rPr>
                <w:sz w:val="24"/>
                <w:lang w:val="ru-RU"/>
              </w:rPr>
              <w:t>орган, осуществляющий деятельность по оценке соответствия, который может быть объектом аккредитации).</w:t>
            </w:r>
          </w:p>
        </w:tc>
      </w:tr>
      <w:tr w:rsidR="003D2362" w14:paraId="6A4DD4CB" w14:textId="77777777" w:rsidTr="000F5AA4">
        <w:tc>
          <w:tcPr>
            <w:tcW w:w="2082" w:type="dxa"/>
            <w:shd w:val="clear" w:color="auto" w:fill="auto"/>
          </w:tcPr>
          <w:p w14:paraId="24B530FD" w14:textId="4203CA19" w:rsidR="003D2362" w:rsidRPr="00C0176B" w:rsidRDefault="00857106" w:rsidP="00697D2C">
            <w:pPr>
              <w:pStyle w:val="aa"/>
              <w:spacing w:line="360" w:lineRule="auto"/>
              <w:ind w:firstLine="0"/>
              <w:jc w:val="left"/>
              <w:rPr>
                <w:sz w:val="24"/>
                <w:lang w:val="ru-RU"/>
              </w:rPr>
            </w:pPr>
            <w:r w:rsidRPr="00C0176B">
              <w:rPr>
                <w:sz w:val="24"/>
              </w:rPr>
              <w:t>IAF MLA</w:t>
            </w:r>
          </w:p>
        </w:tc>
        <w:tc>
          <w:tcPr>
            <w:tcW w:w="7274" w:type="dxa"/>
            <w:shd w:val="clear" w:color="auto" w:fill="auto"/>
          </w:tcPr>
          <w:p w14:paraId="562526C9" w14:textId="266D09C2" w:rsidR="003D2362" w:rsidRPr="00C0176B" w:rsidRDefault="00857106" w:rsidP="007E5C5A">
            <w:pPr>
              <w:pStyle w:val="aa"/>
              <w:numPr>
                <w:ilvl w:val="0"/>
                <w:numId w:val="2"/>
              </w:numPr>
              <w:spacing w:line="360" w:lineRule="auto"/>
              <w:ind w:left="318" w:hanging="283"/>
              <w:rPr>
                <w:sz w:val="24"/>
                <w:lang w:val="ru-RU"/>
              </w:rPr>
            </w:pPr>
            <w:r w:rsidRPr="00C0176B">
              <w:rPr>
                <w:sz w:val="24"/>
                <w:lang w:val="ru-RU"/>
              </w:rPr>
              <w:t>Договорённость о взаимном признании Международного форума по аккредитации.</w:t>
            </w:r>
          </w:p>
        </w:tc>
      </w:tr>
      <w:tr w:rsidR="00857106" w14:paraId="700550F6" w14:textId="77777777" w:rsidTr="000F5AA4">
        <w:tc>
          <w:tcPr>
            <w:tcW w:w="2082" w:type="dxa"/>
            <w:shd w:val="clear" w:color="auto" w:fill="auto"/>
          </w:tcPr>
          <w:p w14:paraId="27E08A5C" w14:textId="3B7C5759" w:rsidR="00857106" w:rsidRPr="00C0176B" w:rsidRDefault="00857106" w:rsidP="00697D2C">
            <w:pPr>
              <w:pStyle w:val="aa"/>
              <w:spacing w:line="360" w:lineRule="auto"/>
              <w:ind w:firstLine="0"/>
              <w:jc w:val="left"/>
            </w:pPr>
            <w:r w:rsidRPr="00C0176B">
              <w:rPr>
                <w:sz w:val="24"/>
              </w:rPr>
              <w:t>ILAC MRA</w:t>
            </w:r>
          </w:p>
        </w:tc>
        <w:tc>
          <w:tcPr>
            <w:tcW w:w="7274" w:type="dxa"/>
            <w:shd w:val="clear" w:color="auto" w:fill="auto"/>
          </w:tcPr>
          <w:p w14:paraId="672E50D7" w14:textId="77777777" w:rsidR="00857106" w:rsidRPr="00C0176B" w:rsidRDefault="00857106" w:rsidP="00857106">
            <w:pPr>
              <w:pStyle w:val="aa"/>
              <w:numPr>
                <w:ilvl w:val="0"/>
                <w:numId w:val="2"/>
              </w:numPr>
              <w:spacing w:line="360" w:lineRule="auto"/>
              <w:ind w:left="318" w:hanging="283"/>
              <w:rPr>
                <w:sz w:val="24"/>
                <w:lang w:val="ru-RU"/>
              </w:rPr>
            </w:pPr>
            <w:r w:rsidRPr="00C0176B">
              <w:rPr>
                <w:sz w:val="24"/>
                <w:lang w:val="ru-RU"/>
              </w:rPr>
              <w:t>Договорённость о взаимном признании Международного сотрудничества по аккредитации лабораторий.</w:t>
            </w:r>
          </w:p>
          <w:p w14:paraId="6C28B06E" w14:textId="379EAB2F" w:rsidR="00B516F5" w:rsidRPr="00C0176B" w:rsidRDefault="00B516F5" w:rsidP="00B516F5">
            <w:pPr>
              <w:pStyle w:val="aa"/>
              <w:spacing w:line="360" w:lineRule="auto"/>
              <w:ind w:left="318" w:firstLine="0"/>
              <w:rPr>
                <w:sz w:val="24"/>
                <w:lang w:val="ru-RU"/>
              </w:rPr>
            </w:pPr>
          </w:p>
        </w:tc>
      </w:tr>
    </w:tbl>
    <w:p w14:paraId="65ACD7F5" w14:textId="357ECFC6" w:rsidR="0071592D" w:rsidRDefault="0071592D" w:rsidP="00117432">
      <w:pPr>
        <w:pStyle w:val="1"/>
        <w:numPr>
          <w:ilvl w:val="0"/>
          <w:numId w:val="5"/>
        </w:numPr>
        <w:spacing w:before="120" w:after="120" w:line="36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bookmarkStart w:id="3" w:name="_Toc84490143"/>
      <w:bookmarkStart w:id="4" w:name="_Toc528239850"/>
      <w:r>
        <w:rPr>
          <w:rFonts w:ascii="Times New Roman" w:hAnsi="Times New Roman" w:cs="Times New Roman"/>
          <w:sz w:val="24"/>
          <w:szCs w:val="24"/>
        </w:rPr>
        <w:t>Нормативные ссылки и источники</w:t>
      </w:r>
      <w:bookmarkEnd w:id="3"/>
    </w:p>
    <w:p w14:paraId="603FDEAA" w14:textId="3441E42C" w:rsidR="00C62DA2" w:rsidRPr="00C62DA2" w:rsidRDefault="00C62DA2" w:rsidP="00385FBA">
      <w:pPr>
        <w:pStyle w:val="aa"/>
        <w:numPr>
          <w:ilvl w:val="1"/>
          <w:numId w:val="5"/>
        </w:numPr>
        <w:spacing w:line="360" w:lineRule="auto"/>
        <w:ind w:left="0" w:firstLine="709"/>
        <w:rPr>
          <w:sz w:val="24"/>
          <w:lang w:val="ru-RU"/>
        </w:rPr>
      </w:pPr>
      <w:r w:rsidRPr="00C62DA2">
        <w:rPr>
          <w:sz w:val="24"/>
          <w:lang w:val="ru-RU"/>
        </w:rPr>
        <w:t>IAF/ILAC-А2 «Договорённости о взаимном признании IAF/ILAC</w:t>
      </w:r>
      <w:r>
        <w:rPr>
          <w:sz w:val="24"/>
          <w:lang w:val="ru-RU"/>
        </w:rPr>
        <w:t>(Договорённости): требования и процедуры, касающиеся оценки отдельного органа по аккредитации».</w:t>
      </w:r>
    </w:p>
    <w:p w14:paraId="2E79B438" w14:textId="4C0582F9" w:rsidR="00385FBA" w:rsidRPr="00385FBA" w:rsidRDefault="00385FBA" w:rsidP="00385FBA">
      <w:pPr>
        <w:pStyle w:val="aa"/>
        <w:numPr>
          <w:ilvl w:val="1"/>
          <w:numId w:val="5"/>
        </w:numPr>
        <w:spacing w:line="360" w:lineRule="auto"/>
        <w:ind w:left="0" w:firstLine="709"/>
        <w:rPr>
          <w:sz w:val="24"/>
          <w:lang w:val="ru-RU"/>
        </w:rPr>
      </w:pPr>
      <w:r>
        <w:rPr>
          <w:sz w:val="24"/>
          <w:lang w:val="en-US"/>
        </w:rPr>
        <w:t>IAF</w:t>
      </w:r>
      <w:r w:rsidRPr="00385FBA">
        <w:rPr>
          <w:sz w:val="24"/>
          <w:lang w:val="ru-RU"/>
        </w:rPr>
        <w:t xml:space="preserve"> </w:t>
      </w:r>
      <w:r>
        <w:rPr>
          <w:sz w:val="24"/>
          <w:lang w:val="en-US"/>
        </w:rPr>
        <w:t>PR</w:t>
      </w:r>
      <w:r w:rsidRPr="00385FBA">
        <w:rPr>
          <w:sz w:val="24"/>
          <w:lang w:val="ru-RU"/>
        </w:rPr>
        <w:t xml:space="preserve"> 4 «</w:t>
      </w:r>
      <w:r w:rsidR="00332724" w:rsidRPr="00332724">
        <w:rPr>
          <w:sz w:val="24"/>
          <w:lang w:val="ru-RU"/>
        </w:rPr>
        <w:t>С</w:t>
      </w:r>
      <w:r w:rsidR="00332724">
        <w:rPr>
          <w:sz w:val="24"/>
          <w:lang w:val="ru-RU"/>
        </w:rPr>
        <w:t xml:space="preserve">труктура Договорённости о взаимном признании </w:t>
      </w:r>
      <w:r w:rsidR="00332724">
        <w:rPr>
          <w:caps/>
          <w:sz w:val="24"/>
          <w:lang w:val="en-US"/>
        </w:rPr>
        <w:t>IAF</w:t>
      </w:r>
      <w:r w:rsidR="00332724" w:rsidRPr="00332724">
        <w:rPr>
          <w:caps/>
          <w:sz w:val="24"/>
          <w:lang w:val="ru-RU"/>
        </w:rPr>
        <w:t xml:space="preserve"> </w:t>
      </w:r>
      <w:r w:rsidR="00332724">
        <w:rPr>
          <w:caps/>
          <w:sz w:val="24"/>
          <w:lang w:val="en-US"/>
        </w:rPr>
        <w:t>MLA</w:t>
      </w:r>
      <w:r w:rsidR="00332724">
        <w:rPr>
          <w:caps/>
          <w:sz w:val="24"/>
          <w:lang w:val="ru-RU"/>
        </w:rPr>
        <w:t xml:space="preserve"> </w:t>
      </w:r>
      <w:r w:rsidR="00332724">
        <w:rPr>
          <w:sz w:val="24"/>
          <w:lang w:val="ru-RU"/>
        </w:rPr>
        <w:t xml:space="preserve">и список утверждённых </w:t>
      </w:r>
      <w:r w:rsidR="00332724">
        <w:rPr>
          <w:sz w:val="24"/>
          <w:lang w:val="en-US"/>
        </w:rPr>
        <w:t>IAF</w:t>
      </w:r>
      <w:r w:rsidR="00332724">
        <w:rPr>
          <w:sz w:val="24"/>
          <w:lang w:val="ru-RU"/>
        </w:rPr>
        <w:t xml:space="preserve"> нормативных документов»</w:t>
      </w:r>
      <w:r w:rsidR="00332724">
        <w:rPr>
          <w:rStyle w:val="ad"/>
          <w:sz w:val="24"/>
          <w:lang w:val="ru-RU"/>
        </w:rPr>
        <w:footnoteReference w:id="1"/>
      </w:r>
      <w:r w:rsidR="00894427">
        <w:rPr>
          <w:sz w:val="24"/>
          <w:lang w:val="ru-RU"/>
        </w:rPr>
        <w:t>.</w:t>
      </w:r>
    </w:p>
    <w:p w14:paraId="0E038377" w14:textId="0A7E771B" w:rsidR="00385FBA" w:rsidRPr="00385FBA" w:rsidRDefault="00332724" w:rsidP="00385FBA">
      <w:pPr>
        <w:pStyle w:val="aa"/>
        <w:numPr>
          <w:ilvl w:val="1"/>
          <w:numId w:val="5"/>
        </w:numPr>
        <w:spacing w:line="360" w:lineRule="auto"/>
        <w:ind w:left="0" w:firstLine="709"/>
        <w:rPr>
          <w:sz w:val="24"/>
          <w:lang w:val="ru-RU"/>
        </w:rPr>
      </w:pPr>
      <w:r>
        <w:rPr>
          <w:sz w:val="24"/>
          <w:lang w:val="en-US"/>
        </w:rPr>
        <w:t>ILAC</w:t>
      </w:r>
      <w:r w:rsidRPr="00332724">
        <w:rPr>
          <w:sz w:val="24"/>
          <w:lang w:val="ru-RU"/>
        </w:rPr>
        <w:t xml:space="preserve"> </w:t>
      </w:r>
      <w:r>
        <w:rPr>
          <w:sz w:val="24"/>
          <w:lang w:val="en-US"/>
        </w:rPr>
        <w:t>P</w:t>
      </w:r>
      <w:r w:rsidRPr="00332724">
        <w:rPr>
          <w:sz w:val="24"/>
          <w:lang w:val="ru-RU"/>
        </w:rPr>
        <w:t>5</w:t>
      </w:r>
      <w:r w:rsidR="00385FBA" w:rsidRPr="00385FBA">
        <w:rPr>
          <w:sz w:val="24"/>
          <w:lang w:val="ru-RU"/>
        </w:rPr>
        <w:t xml:space="preserve"> «</w:t>
      </w:r>
      <w:r>
        <w:rPr>
          <w:sz w:val="24"/>
          <w:lang w:val="ru-RU"/>
        </w:rPr>
        <w:t xml:space="preserve">Многосторонняя договорённость о взаимном признании </w:t>
      </w:r>
      <w:r>
        <w:rPr>
          <w:sz w:val="24"/>
          <w:lang w:val="en-US"/>
        </w:rPr>
        <w:t>ILAC</w:t>
      </w:r>
      <w:r>
        <w:rPr>
          <w:sz w:val="24"/>
          <w:lang w:val="ru-RU"/>
        </w:rPr>
        <w:t>: область и обязательства</w:t>
      </w:r>
      <w:r w:rsidR="00385FBA" w:rsidRPr="00385FBA">
        <w:rPr>
          <w:sz w:val="24"/>
          <w:lang w:val="ru-RU"/>
        </w:rPr>
        <w:t>»</w:t>
      </w:r>
      <w:r w:rsidR="00894427">
        <w:rPr>
          <w:sz w:val="24"/>
          <w:lang w:val="ru-RU"/>
        </w:rPr>
        <w:t>.</w:t>
      </w:r>
    </w:p>
    <w:p w14:paraId="37D72BC5" w14:textId="30AC08D2" w:rsidR="00385FBA" w:rsidRDefault="00DD0328" w:rsidP="00385FBA">
      <w:pPr>
        <w:pStyle w:val="aa"/>
        <w:numPr>
          <w:ilvl w:val="1"/>
          <w:numId w:val="5"/>
        </w:numPr>
        <w:spacing w:line="360" w:lineRule="auto"/>
        <w:ind w:left="0" w:firstLine="709"/>
        <w:rPr>
          <w:sz w:val="24"/>
          <w:lang w:val="ru-RU"/>
        </w:rPr>
      </w:pPr>
      <w:r w:rsidRPr="00DD0328">
        <w:rPr>
          <w:sz w:val="24"/>
          <w:lang w:val="ru-RU"/>
        </w:rPr>
        <w:lastRenderedPageBreak/>
        <w:t>ЕААС УС-01</w:t>
      </w:r>
      <w:r w:rsidR="00385FBA" w:rsidRPr="00385FBA">
        <w:rPr>
          <w:sz w:val="24"/>
          <w:lang w:val="ru-RU"/>
        </w:rPr>
        <w:t xml:space="preserve"> «</w:t>
      </w:r>
      <w:r>
        <w:rPr>
          <w:sz w:val="24"/>
          <w:lang w:val="ru-RU"/>
        </w:rPr>
        <w:t>Устав Евразийского сотрудничества по аккредитации</w:t>
      </w:r>
      <w:r w:rsidR="00385FBA" w:rsidRPr="00385FBA">
        <w:rPr>
          <w:sz w:val="24"/>
          <w:lang w:val="ru-RU"/>
        </w:rPr>
        <w:t>»</w:t>
      </w:r>
      <w:r w:rsidR="00894427">
        <w:rPr>
          <w:sz w:val="24"/>
          <w:lang w:val="ru-RU"/>
        </w:rPr>
        <w:t>.</w:t>
      </w:r>
    </w:p>
    <w:p w14:paraId="22838101" w14:textId="52DB3B1A" w:rsidR="00894427" w:rsidRDefault="00894427" w:rsidP="00385FBA">
      <w:pPr>
        <w:pStyle w:val="aa"/>
        <w:numPr>
          <w:ilvl w:val="1"/>
          <w:numId w:val="5"/>
        </w:numPr>
        <w:spacing w:line="360" w:lineRule="auto"/>
        <w:ind w:left="0" w:firstLine="709"/>
        <w:rPr>
          <w:sz w:val="24"/>
          <w:lang w:val="ru-RU"/>
        </w:rPr>
      </w:pPr>
      <w:r>
        <w:rPr>
          <w:sz w:val="24"/>
          <w:lang w:val="ru-RU"/>
        </w:rPr>
        <w:t>ЕААС МД-01 «Договорённость о взаимном признании Евразийского сотрудничества по аккредитации: структура и обязательства».</w:t>
      </w:r>
    </w:p>
    <w:p w14:paraId="044B6942" w14:textId="3F7733FB" w:rsidR="0057677F" w:rsidRDefault="0057677F" w:rsidP="00385FBA">
      <w:pPr>
        <w:pStyle w:val="aa"/>
        <w:numPr>
          <w:ilvl w:val="1"/>
          <w:numId w:val="5"/>
        </w:numPr>
        <w:spacing w:line="360" w:lineRule="auto"/>
        <w:ind w:left="0" w:firstLine="709"/>
        <w:rPr>
          <w:sz w:val="24"/>
          <w:lang w:val="ru-RU"/>
        </w:rPr>
      </w:pPr>
      <w:r>
        <w:rPr>
          <w:sz w:val="24"/>
          <w:lang w:val="ru-RU"/>
        </w:rPr>
        <w:t>ЕААС МД-02 «</w:t>
      </w:r>
      <w:r w:rsidRPr="0057677F">
        <w:rPr>
          <w:sz w:val="24"/>
          <w:lang w:val="ru-RU"/>
        </w:rPr>
        <w:t>Список нормативных документов, применяемых в рамках Договорённости о взаимном признании ЕААС</w:t>
      </w:r>
      <w:r>
        <w:rPr>
          <w:sz w:val="24"/>
          <w:lang w:val="ru-RU"/>
        </w:rPr>
        <w:t>»</w:t>
      </w:r>
      <w:r w:rsidR="00894427">
        <w:rPr>
          <w:sz w:val="24"/>
          <w:lang w:val="ru-RU"/>
        </w:rPr>
        <w:t>.</w:t>
      </w:r>
    </w:p>
    <w:p w14:paraId="2FD4275C" w14:textId="5B11EE5C" w:rsidR="00A27903" w:rsidRDefault="000A5D05" w:rsidP="00385FBA">
      <w:pPr>
        <w:pStyle w:val="aa"/>
        <w:numPr>
          <w:ilvl w:val="1"/>
          <w:numId w:val="5"/>
        </w:numPr>
        <w:spacing w:line="360" w:lineRule="auto"/>
        <w:ind w:left="0" w:firstLine="709"/>
        <w:rPr>
          <w:i/>
          <w:sz w:val="24"/>
          <w:highlight w:val="yellow"/>
          <w:lang w:val="ru-RU"/>
        </w:rPr>
      </w:pPr>
      <w:r w:rsidRPr="000A5D05">
        <w:rPr>
          <w:i/>
          <w:sz w:val="24"/>
          <w:highlight w:val="yellow"/>
          <w:lang w:val="ru-RU"/>
        </w:rPr>
        <w:t xml:space="preserve">Порядок </w:t>
      </w:r>
      <w:r w:rsidR="00B238AE">
        <w:rPr>
          <w:i/>
          <w:sz w:val="24"/>
          <w:highlight w:val="yellow"/>
          <w:lang w:val="ru-RU"/>
        </w:rPr>
        <w:t>осуществления</w:t>
      </w:r>
      <w:r w:rsidRPr="000A5D05">
        <w:rPr>
          <w:i/>
          <w:sz w:val="24"/>
          <w:highlight w:val="yellow"/>
          <w:lang w:val="ru-RU"/>
        </w:rPr>
        <w:t xml:space="preserve"> паритетных оценок </w:t>
      </w:r>
      <w:r w:rsidR="00B238AE">
        <w:rPr>
          <w:i/>
          <w:sz w:val="24"/>
          <w:highlight w:val="yellow"/>
          <w:lang w:val="ru-RU"/>
        </w:rPr>
        <w:t>органов по аккредитации</w:t>
      </w:r>
      <w:r w:rsidR="00894427">
        <w:rPr>
          <w:i/>
          <w:sz w:val="24"/>
          <w:highlight w:val="yellow"/>
          <w:lang w:val="ru-RU"/>
        </w:rPr>
        <w:t>.</w:t>
      </w:r>
    </w:p>
    <w:p w14:paraId="19B36FD7" w14:textId="77777777" w:rsidR="00B516F5" w:rsidRPr="000A5D05" w:rsidRDefault="00B516F5" w:rsidP="00B516F5">
      <w:pPr>
        <w:pStyle w:val="aa"/>
        <w:spacing w:line="360" w:lineRule="auto"/>
        <w:ind w:left="709" w:firstLine="0"/>
        <w:rPr>
          <w:i/>
          <w:sz w:val="24"/>
          <w:highlight w:val="yellow"/>
          <w:lang w:val="ru-RU"/>
        </w:rPr>
      </w:pPr>
    </w:p>
    <w:p w14:paraId="158D1349" w14:textId="3DBDB7AD" w:rsidR="002900C0" w:rsidRPr="00894427" w:rsidRDefault="000A5D05" w:rsidP="00117432">
      <w:pPr>
        <w:pStyle w:val="1"/>
        <w:numPr>
          <w:ilvl w:val="0"/>
          <w:numId w:val="5"/>
        </w:numPr>
        <w:spacing w:before="120" w:after="120" w:line="36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bookmarkStart w:id="5" w:name="_Toc84490144"/>
      <w:bookmarkEnd w:id="4"/>
      <w:r w:rsidRPr="00894427">
        <w:rPr>
          <w:rFonts w:ascii="Times New Roman" w:hAnsi="Times New Roman" w:cs="Times New Roman"/>
          <w:sz w:val="24"/>
          <w:szCs w:val="24"/>
        </w:rPr>
        <w:t>Общие положения</w:t>
      </w:r>
      <w:bookmarkEnd w:id="5"/>
    </w:p>
    <w:p w14:paraId="1851CBC2" w14:textId="77777777" w:rsidR="00385FBA" w:rsidRPr="00894427" w:rsidRDefault="00385FBA" w:rsidP="006375F9">
      <w:pPr>
        <w:pStyle w:val="aa"/>
        <w:numPr>
          <w:ilvl w:val="0"/>
          <w:numId w:val="21"/>
        </w:numPr>
        <w:spacing w:line="360" w:lineRule="auto"/>
        <w:ind w:left="0" w:firstLine="709"/>
        <w:rPr>
          <w:sz w:val="24"/>
          <w:lang w:val="ru-RU"/>
        </w:rPr>
        <w:sectPr w:rsidR="00385FBA" w:rsidRPr="00894427" w:rsidSect="00CC0339">
          <w:headerReference w:type="default" r:id="rId8"/>
          <w:footerReference w:type="default" r:id="rId9"/>
          <w:pgSz w:w="11906" w:h="16838"/>
          <w:pgMar w:top="1134" w:right="850" w:bottom="1134" w:left="1701" w:header="284" w:footer="709" w:gutter="0"/>
          <w:cols w:space="708"/>
          <w:docGrid w:linePitch="360"/>
        </w:sectPr>
      </w:pPr>
    </w:p>
    <w:p w14:paraId="6029A046" w14:textId="65064086" w:rsidR="000F5AA4" w:rsidRPr="00894427" w:rsidRDefault="000A5D05" w:rsidP="002D68C4">
      <w:pPr>
        <w:pStyle w:val="aa"/>
        <w:numPr>
          <w:ilvl w:val="0"/>
          <w:numId w:val="30"/>
        </w:numPr>
        <w:spacing w:line="360" w:lineRule="auto"/>
        <w:ind w:left="0" w:firstLine="709"/>
        <w:rPr>
          <w:sz w:val="24"/>
          <w:lang w:val="ru-RU"/>
        </w:rPr>
      </w:pPr>
      <w:r w:rsidRPr="00894427">
        <w:rPr>
          <w:sz w:val="24"/>
          <w:lang w:val="ru-RU"/>
        </w:rPr>
        <w:t xml:space="preserve">Договорённость о взаимном признании ЕААС основана на соответствии её участников требованиям стандарта </w:t>
      </w:r>
      <w:r w:rsidRPr="00894427">
        <w:rPr>
          <w:sz w:val="24"/>
          <w:lang w:val="en-US"/>
        </w:rPr>
        <w:t>ISO</w:t>
      </w:r>
      <w:r w:rsidRPr="00894427">
        <w:rPr>
          <w:sz w:val="24"/>
          <w:lang w:val="ru-RU"/>
        </w:rPr>
        <w:t>/</w:t>
      </w:r>
      <w:r w:rsidRPr="00894427">
        <w:rPr>
          <w:sz w:val="24"/>
          <w:lang w:val="en-US"/>
        </w:rPr>
        <w:t>IEC</w:t>
      </w:r>
      <w:r w:rsidRPr="00894427">
        <w:rPr>
          <w:sz w:val="24"/>
          <w:lang w:val="ru-RU"/>
        </w:rPr>
        <w:t xml:space="preserve"> 17011, а также обязательных документов, установленных для целей </w:t>
      </w:r>
      <w:r w:rsidRPr="00894427">
        <w:rPr>
          <w:sz w:val="24"/>
          <w:lang w:val="en-US"/>
        </w:rPr>
        <w:t>IAF</w:t>
      </w:r>
      <w:r w:rsidRPr="00894427">
        <w:rPr>
          <w:sz w:val="24"/>
          <w:lang w:val="ru-RU"/>
        </w:rPr>
        <w:t xml:space="preserve"> </w:t>
      </w:r>
      <w:r w:rsidRPr="00894427">
        <w:rPr>
          <w:sz w:val="24"/>
          <w:lang w:val="en-US"/>
        </w:rPr>
        <w:t>MLA</w:t>
      </w:r>
      <w:r w:rsidRPr="00894427">
        <w:rPr>
          <w:sz w:val="24"/>
          <w:lang w:val="ru-RU"/>
        </w:rPr>
        <w:t>/</w:t>
      </w:r>
      <w:r w:rsidRPr="00894427">
        <w:rPr>
          <w:sz w:val="24"/>
          <w:lang w:val="en-US"/>
        </w:rPr>
        <w:t>ILAC</w:t>
      </w:r>
      <w:r w:rsidRPr="00894427">
        <w:rPr>
          <w:sz w:val="24"/>
          <w:lang w:val="ru-RU"/>
        </w:rPr>
        <w:t xml:space="preserve"> </w:t>
      </w:r>
      <w:r w:rsidRPr="00894427">
        <w:rPr>
          <w:sz w:val="24"/>
          <w:lang w:val="en-US"/>
        </w:rPr>
        <w:t>MRA</w:t>
      </w:r>
      <w:r w:rsidR="0057677F" w:rsidRPr="00894427">
        <w:rPr>
          <w:sz w:val="24"/>
          <w:lang w:val="ru-RU"/>
        </w:rPr>
        <w:t xml:space="preserve"> и перечисленных в документе ЕААС МД-02, продемонстрированно</w:t>
      </w:r>
      <w:r w:rsidR="00B238AE" w:rsidRPr="00894427">
        <w:rPr>
          <w:sz w:val="24"/>
          <w:lang w:val="ru-RU"/>
        </w:rPr>
        <w:t>м</w:t>
      </w:r>
      <w:r w:rsidR="0057677F" w:rsidRPr="00894427">
        <w:rPr>
          <w:sz w:val="24"/>
          <w:lang w:val="ru-RU"/>
        </w:rPr>
        <w:t xml:space="preserve"> </w:t>
      </w:r>
      <w:r w:rsidR="008741E3" w:rsidRPr="00894427">
        <w:rPr>
          <w:sz w:val="24"/>
          <w:lang w:val="ru-RU"/>
        </w:rPr>
        <w:t xml:space="preserve">в ходе паритетной оценке, проведённом </w:t>
      </w:r>
      <w:r w:rsidR="00B238AE" w:rsidRPr="00894427">
        <w:rPr>
          <w:sz w:val="24"/>
          <w:lang w:val="ru-RU"/>
        </w:rPr>
        <w:t>согласно</w:t>
      </w:r>
      <w:r w:rsidR="0057677F" w:rsidRPr="00894427">
        <w:rPr>
          <w:sz w:val="24"/>
          <w:lang w:val="ru-RU"/>
        </w:rPr>
        <w:t xml:space="preserve"> процедурам, изложенным в документе </w:t>
      </w:r>
      <w:r w:rsidR="0057677F" w:rsidRPr="00894427">
        <w:rPr>
          <w:sz w:val="24"/>
          <w:highlight w:val="yellow"/>
          <w:lang w:val="ru-RU"/>
        </w:rPr>
        <w:t xml:space="preserve">«Порядок </w:t>
      </w:r>
      <w:r w:rsidR="00B238AE" w:rsidRPr="00894427">
        <w:rPr>
          <w:sz w:val="24"/>
          <w:highlight w:val="yellow"/>
          <w:lang w:val="ru-RU"/>
        </w:rPr>
        <w:t>осуществления</w:t>
      </w:r>
      <w:r w:rsidR="0057677F" w:rsidRPr="00894427">
        <w:rPr>
          <w:sz w:val="24"/>
          <w:highlight w:val="yellow"/>
          <w:lang w:val="ru-RU"/>
        </w:rPr>
        <w:t xml:space="preserve"> паритетных оценок </w:t>
      </w:r>
      <w:r w:rsidR="00B238AE" w:rsidRPr="00894427">
        <w:rPr>
          <w:sz w:val="24"/>
          <w:highlight w:val="yellow"/>
          <w:lang w:val="ru-RU"/>
        </w:rPr>
        <w:t>органов по аккредитации</w:t>
      </w:r>
      <w:r w:rsidR="0057677F" w:rsidRPr="00894427">
        <w:rPr>
          <w:sz w:val="24"/>
          <w:highlight w:val="yellow"/>
          <w:lang w:val="ru-RU"/>
        </w:rPr>
        <w:t>»</w:t>
      </w:r>
      <w:r w:rsidR="0057677F" w:rsidRPr="00894427">
        <w:rPr>
          <w:sz w:val="24"/>
          <w:lang w:val="ru-RU"/>
        </w:rPr>
        <w:t>.</w:t>
      </w:r>
    </w:p>
    <w:p w14:paraId="3E26E2F0" w14:textId="2C82C01E" w:rsidR="002D68C4" w:rsidRPr="00894427" w:rsidRDefault="002D68C4" w:rsidP="002D68C4">
      <w:pPr>
        <w:pStyle w:val="aa"/>
        <w:numPr>
          <w:ilvl w:val="0"/>
          <w:numId w:val="30"/>
        </w:numPr>
        <w:spacing w:line="360" w:lineRule="auto"/>
        <w:ind w:left="0" w:firstLine="709"/>
        <w:rPr>
          <w:sz w:val="24"/>
          <w:lang w:val="ru-RU"/>
        </w:rPr>
      </w:pPr>
      <w:r w:rsidRPr="00894427">
        <w:rPr>
          <w:sz w:val="24"/>
          <w:lang w:val="ru-RU"/>
        </w:rPr>
        <w:t>Задачей Договорённость о взаимном признании ЕААС является обеспечение признания аккредитаций, предоставляемых органами по аккредитации стран Евразийского региона в целях создания условий для признания результатов работ в области оценки соответствия, выполненных аккредитованными ими органами по оценке соответствия, и оказания тем самым содействия развитию региональной и международной торговли.</w:t>
      </w:r>
    </w:p>
    <w:p w14:paraId="453DBAC0" w14:textId="20294CC0" w:rsidR="00B214B5" w:rsidRDefault="00B214B5" w:rsidP="002D68C4">
      <w:pPr>
        <w:pStyle w:val="aa"/>
        <w:numPr>
          <w:ilvl w:val="0"/>
          <w:numId w:val="30"/>
        </w:numPr>
        <w:spacing w:line="360" w:lineRule="auto"/>
        <w:ind w:left="0" w:firstLine="709"/>
        <w:rPr>
          <w:sz w:val="24"/>
          <w:lang w:val="ru-RU"/>
        </w:rPr>
      </w:pPr>
      <w:r w:rsidRPr="00894427">
        <w:rPr>
          <w:sz w:val="24"/>
          <w:lang w:val="ru-RU"/>
        </w:rPr>
        <w:t xml:space="preserve">Управление Договорённостью о взаимном признании ЕААС осуществляется Советом </w:t>
      </w:r>
      <w:proofErr w:type="gramStart"/>
      <w:r w:rsidRPr="00894427">
        <w:rPr>
          <w:sz w:val="24"/>
          <w:lang w:val="ru-RU"/>
        </w:rPr>
        <w:t>по договорённостью</w:t>
      </w:r>
      <w:proofErr w:type="gramEnd"/>
      <w:r w:rsidRPr="00894427">
        <w:rPr>
          <w:sz w:val="24"/>
          <w:lang w:val="ru-RU"/>
        </w:rPr>
        <w:t>, формируемым и действующим в соответствии с Уставом ЕААС.</w:t>
      </w:r>
    </w:p>
    <w:p w14:paraId="1A0843CC" w14:textId="77777777" w:rsidR="00B516F5" w:rsidRPr="00894427" w:rsidRDefault="00B516F5" w:rsidP="00B516F5">
      <w:pPr>
        <w:pStyle w:val="aa"/>
        <w:spacing w:line="360" w:lineRule="auto"/>
        <w:ind w:left="709" w:firstLine="0"/>
        <w:rPr>
          <w:sz w:val="24"/>
          <w:lang w:val="ru-RU"/>
        </w:rPr>
      </w:pPr>
    </w:p>
    <w:p w14:paraId="5F742C82" w14:textId="6C02036B" w:rsidR="00AA70B5" w:rsidRPr="00894427" w:rsidRDefault="00B516F5" w:rsidP="00AA70B5">
      <w:pPr>
        <w:pStyle w:val="1"/>
        <w:numPr>
          <w:ilvl w:val="0"/>
          <w:numId w:val="5"/>
        </w:numPr>
        <w:spacing w:before="120" w:after="120" w:line="36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bookmarkStart w:id="6" w:name="_Toc84490145"/>
      <w:r>
        <w:rPr>
          <w:rFonts w:ascii="Times New Roman" w:hAnsi="Times New Roman" w:cs="Times New Roman"/>
          <w:sz w:val="24"/>
          <w:szCs w:val="24"/>
        </w:rPr>
        <w:t>Функционирование</w:t>
      </w:r>
      <w:r w:rsidR="00AA70B5" w:rsidRPr="00894427">
        <w:rPr>
          <w:rFonts w:ascii="Times New Roman" w:hAnsi="Times New Roman" w:cs="Times New Roman"/>
          <w:sz w:val="24"/>
          <w:szCs w:val="24"/>
        </w:rPr>
        <w:t xml:space="preserve"> Договорённости о взаимном признании</w:t>
      </w:r>
      <w:bookmarkEnd w:id="6"/>
      <w:r w:rsidR="00AA70B5" w:rsidRPr="0089442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641904" w14:textId="7EC29404" w:rsidR="00E02470" w:rsidRPr="00894427" w:rsidRDefault="00894427" w:rsidP="00267425">
      <w:pPr>
        <w:pStyle w:val="af6"/>
        <w:numPr>
          <w:ilvl w:val="0"/>
          <w:numId w:val="31"/>
        </w:numPr>
        <w:ind w:left="0" w:firstLine="709"/>
        <w:jc w:val="both"/>
        <w:rPr>
          <w:szCs w:val="24"/>
        </w:rPr>
      </w:pPr>
      <w:r w:rsidRPr="00894427">
        <w:rPr>
          <w:szCs w:val="24"/>
        </w:rPr>
        <w:t xml:space="preserve">Каждый полноправный член ЕААС безотлагательно информирует через Секретариат ЕААС Совет по Договорённости ЕААС о любых значимых изменениях, которые произошли или планируются и могут повлиять на его деятельность в области аккредитации, </w:t>
      </w:r>
      <w:r w:rsidR="00E02470" w:rsidRPr="00894427">
        <w:rPr>
          <w:szCs w:val="24"/>
        </w:rPr>
        <w:t xml:space="preserve">как </w:t>
      </w:r>
      <w:r w:rsidRPr="00894427">
        <w:rPr>
          <w:szCs w:val="24"/>
        </w:rPr>
        <w:t xml:space="preserve">это предусмотрено п. 5.1.9 документа ЕААС МД-01. </w:t>
      </w:r>
      <w:r w:rsidR="00D2620E">
        <w:rPr>
          <w:szCs w:val="24"/>
        </w:rPr>
        <w:t xml:space="preserve">Информацию должен сопровождать </w:t>
      </w:r>
      <w:r w:rsidR="00D2620E" w:rsidRPr="00894427">
        <w:rPr>
          <w:szCs w:val="24"/>
        </w:rPr>
        <w:t xml:space="preserve">анализ, касающийся возможного влияния этих изменений на его компетентность и статус подписанта </w:t>
      </w:r>
      <w:r w:rsidR="00D2620E">
        <w:rPr>
          <w:szCs w:val="24"/>
        </w:rPr>
        <w:t xml:space="preserve">Договорённости о взаимном признании ЕААС, а также </w:t>
      </w:r>
      <w:r w:rsidR="00D2620E">
        <w:rPr>
          <w:szCs w:val="24"/>
        </w:rPr>
        <w:lastRenderedPageBreak/>
        <w:t xml:space="preserve">содержащий идентификацию возникающих рисков и перечень мер противодействия им. </w:t>
      </w:r>
      <w:r w:rsidR="00E02470" w:rsidRPr="00894427">
        <w:rPr>
          <w:szCs w:val="24"/>
        </w:rPr>
        <w:t xml:space="preserve">К </w:t>
      </w:r>
      <w:r w:rsidR="00D2620E">
        <w:rPr>
          <w:szCs w:val="24"/>
        </w:rPr>
        <w:t xml:space="preserve">упомянутым </w:t>
      </w:r>
      <w:r w:rsidR="00E02470" w:rsidRPr="00894427">
        <w:rPr>
          <w:szCs w:val="24"/>
        </w:rPr>
        <w:t>существенным изменениям относятся следующие:</w:t>
      </w:r>
    </w:p>
    <w:p w14:paraId="4A2098ED" w14:textId="4DD1AAD6" w:rsidR="00E02470" w:rsidRPr="00894427" w:rsidRDefault="00E02470" w:rsidP="00894427">
      <w:pPr>
        <w:pStyle w:val="af6"/>
        <w:numPr>
          <w:ilvl w:val="0"/>
          <w:numId w:val="33"/>
        </w:numPr>
        <w:ind w:left="0" w:firstLine="709"/>
        <w:jc w:val="both"/>
        <w:rPr>
          <w:szCs w:val="24"/>
        </w:rPr>
      </w:pPr>
      <w:r w:rsidRPr="00894427">
        <w:rPr>
          <w:szCs w:val="24"/>
        </w:rPr>
        <w:t>изменения названия или юридического статуса, а также изменения отношений с правительством;</w:t>
      </w:r>
    </w:p>
    <w:p w14:paraId="5F979A48" w14:textId="7F93ABDB" w:rsidR="00E02470" w:rsidRPr="00894427" w:rsidRDefault="00E02470" w:rsidP="00894427">
      <w:pPr>
        <w:pStyle w:val="af6"/>
        <w:numPr>
          <w:ilvl w:val="0"/>
          <w:numId w:val="33"/>
        </w:numPr>
        <w:ind w:left="0" w:firstLine="709"/>
        <w:jc w:val="both"/>
        <w:rPr>
          <w:szCs w:val="24"/>
        </w:rPr>
      </w:pPr>
      <w:r w:rsidRPr="00894427">
        <w:rPr>
          <w:szCs w:val="24"/>
        </w:rPr>
        <w:t xml:space="preserve">изменения адреса и иной контактной информации, включая смену представителя в </w:t>
      </w:r>
      <w:r w:rsidR="00894427" w:rsidRPr="00894427">
        <w:rPr>
          <w:szCs w:val="24"/>
        </w:rPr>
        <w:t>ЕААС</w:t>
      </w:r>
      <w:r w:rsidRPr="00894427">
        <w:rPr>
          <w:szCs w:val="24"/>
        </w:rPr>
        <w:t xml:space="preserve"> и в Совете по Договорённости;</w:t>
      </w:r>
    </w:p>
    <w:p w14:paraId="5606A25B" w14:textId="5F34E1C6" w:rsidR="00E02470" w:rsidRPr="00894427" w:rsidRDefault="00E02470" w:rsidP="00894427">
      <w:pPr>
        <w:pStyle w:val="af6"/>
        <w:numPr>
          <w:ilvl w:val="0"/>
          <w:numId w:val="33"/>
        </w:numPr>
        <w:ind w:left="0" w:firstLine="709"/>
        <w:jc w:val="both"/>
        <w:rPr>
          <w:szCs w:val="24"/>
        </w:rPr>
      </w:pPr>
      <w:r w:rsidRPr="00894427">
        <w:rPr>
          <w:szCs w:val="24"/>
        </w:rPr>
        <w:t xml:space="preserve">информация о каких-либо иных договорённостях о взаимном признании, участником которых стал </w:t>
      </w:r>
      <w:r w:rsidR="00894427">
        <w:rPr>
          <w:szCs w:val="24"/>
        </w:rPr>
        <w:t>полноправный член ЕААС</w:t>
      </w:r>
      <w:r w:rsidRPr="00894427">
        <w:rPr>
          <w:szCs w:val="24"/>
        </w:rPr>
        <w:t>;</w:t>
      </w:r>
    </w:p>
    <w:p w14:paraId="578F73F8" w14:textId="0AC65475" w:rsidR="00E02470" w:rsidRPr="00894427" w:rsidRDefault="00E02470" w:rsidP="00894427">
      <w:pPr>
        <w:pStyle w:val="af6"/>
        <w:numPr>
          <w:ilvl w:val="0"/>
          <w:numId w:val="33"/>
        </w:numPr>
        <w:ind w:left="0" w:firstLine="709"/>
        <w:jc w:val="both"/>
        <w:rPr>
          <w:szCs w:val="24"/>
        </w:rPr>
      </w:pPr>
      <w:r w:rsidRPr="00894427">
        <w:rPr>
          <w:szCs w:val="24"/>
        </w:rPr>
        <w:t>изменения в ключевом старшем персонале ил</w:t>
      </w:r>
      <w:r w:rsidR="00894427">
        <w:rPr>
          <w:szCs w:val="24"/>
        </w:rPr>
        <w:t>и в организационной структуре</w:t>
      </w:r>
      <w:r w:rsidRPr="00894427">
        <w:rPr>
          <w:szCs w:val="24"/>
        </w:rPr>
        <w:t>;</w:t>
      </w:r>
    </w:p>
    <w:p w14:paraId="3560D50D" w14:textId="16AF0F7D" w:rsidR="00E02470" w:rsidRPr="00894427" w:rsidRDefault="00894427" w:rsidP="00894427">
      <w:pPr>
        <w:pStyle w:val="af6"/>
        <w:numPr>
          <w:ilvl w:val="0"/>
          <w:numId w:val="33"/>
        </w:numPr>
        <w:ind w:left="0" w:firstLine="709"/>
        <w:jc w:val="both"/>
        <w:rPr>
          <w:szCs w:val="24"/>
        </w:rPr>
      </w:pPr>
      <w:r>
        <w:rPr>
          <w:szCs w:val="24"/>
        </w:rPr>
        <w:t>значимые</w:t>
      </w:r>
      <w:r w:rsidR="00E02470" w:rsidRPr="00894427">
        <w:rPr>
          <w:szCs w:val="24"/>
        </w:rPr>
        <w:t xml:space="preserve"> изменения в операционной деятельности системы, особенно касающиеся критериев аккредитации и процедур оценки (за исключением тех, которые явились </w:t>
      </w:r>
      <w:r>
        <w:rPr>
          <w:szCs w:val="24"/>
        </w:rPr>
        <w:t xml:space="preserve">прямым </w:t>
      </w:r>
      <w:r w:rsidR="00E02470" w:rsidRPr="00894427">
        <w:rPr>
          <w:szCs w:val="24"/>
        </w:rPr>
        <w:t xml:space="preserve">следствием требований и рекомендаций ИСО, ILAC, IAF или </w:t>
      </w:r>
      <w:r>
        <w:rPr>
          <w:szCs w:val="24"/>
        </w:rPr>
        <w:t>ЕААС</w:t>
      </w:r>
      <w:r w:rsidR="00E02470" w:rsidRPr="00894427">
        <w:rPr>
          <w:szCs w:val="24"/>
        </w:rPr>
        <w:t xml:space="preserve"> и таким образом являются известными для прочих подписантов);</w:t>
      </w:r>
    </w:p>
    <w:p w14:paraId="5EDA1309" w14:textId="647C7C07" w:rsidR="00E02470" w:rsidRPr="00894427" w:rsidRDefault="00E02470" w:rsidP="00894427">
      <w:pPr>
        <w:pStyle w:val="af6"/>
        <w:numPr>
          <w:ilvl w:val="0"/>
          <w:numId w:val="33"/>
        </w:numPr>
        <w:ind w:left="0" w:firstLine="709"/>
        <w:jc w:val="both"/>
        <w:rPr>
          <w:szCs w:val="24"/>
        </w:rPr>
      </w:pPr>
      <w:r w:rsidRPr="00894427">
        <w:rPr>
          <w:szCs w:val="24"/>
        </w:rPr>
        <w:t xml:space="preserve">информация об организациях, привлекаемых по </w:t>
      </w:r>
      <w:proofErr w:type="spellStart"/>
      <w:r w:rsidRPr="00894427">
        <w:rPr>
          <w:szCs w:val="24"/>
        </w:rPr>
        <w:t>субконтракту</w:t>
      </w:r>
      <w:proofErr w:type="spellEnd"/>
      <w:r w:rsidRPr="00894427">
        <w:rPr>
          <w:szCs w:val="24"/>
        </w:rPr>
        <w:t>, как регулярно, так и на разовой основе;</w:t>
      </w:r>
    </w:p>
    <w:p w14:paraId="6F192CC3" w14:textId="4133B87B" w:rsidR="00E02470" w:rsidRPr="00894427" w:rsidRDefault="00E02470" w:rsidP="00894427">
      <w:pPr>
        <w:pStyle w:val="af6"/>
        <w:numPr>
          <w:ilvl w:val="0"/>
          <w:numId w:val="33"/>
        </w:numPr>
        <w:ind w:left="0" w:firstLine="709"/>
        <w:jc w:val="both"/>
        <w:rPr>
          <w:szCs w:val="24"/>
        </w:rPr>
      </w:pPr>
      <w:r w:rsidRPr="00894427">
        <w:rPr>
          <w:szCs w:val="24"/>
        </w:rPr>
        <w:t xml:space="preserve">любые другие изменения, влияющие на компетентность </w:t>
      </w:r>
      <w:r w:rsidR="00D2620E">
        <w:rPr>
          <w:szCs w:val="24"/>
        </w:rPr>
        <w:t>деятельности в области аккредитации и</w:t>
      </w:r>
      <w:r w:rsidRPr="00894427">
        <w:rPr>
          <w:szCs w:val="24"/>
        </w:rPr>
        <w:t xml:space="preserve"> достоверность </w:t>
      </w:r>
      <w:r w:rsidR="00D2620E">
        <w:rPr>
          <w:szCs w:val="24"/>
        </w:rPr>
        <w:t>её результатов</w:t>
      </w:r>
      <w:r w:rsidRPr="00894427">
        <w:rPr>
          <w:szCs w:val="24"/>
        </w:rPr>
        <w:t>.</w:t>
      </w:r>
    </w:p>
    <w:p w14:paraId="4D440EEF" w14:textId="77777777" w:rsidR="00867DAE" w:rsidRDefault="00D2620E" w:rsidP="00D2620E">
      <w:pPr>
        <w:pStyle w:val="af6"/>
        <w:numPr>
          <w:ilvl w:val="0"/>
          <w:numId w:val="31"/>
        </w:numPr>
        <w:ind w:left="0" w:firstLine="709"/>
        <w:jc w:val="both"/>
        <w:rPr>
          <w:szCs w:val="24"/>
        </w:rPr>
      </w:pPr>
      <w:r>
        <w:rPr>
          <w:szCs w:val="24"/>
        </w:rPr>
        <w:t xml:space="preserve">Информация, представленная в соответствии с п. 5.8, </w:t>
      </w:r>
      <w:r w:rsidRPr="00D2620E">
        <w:rPr>
          <w:szCs w:val="24"/>
        </w:rPr>
        <w:t xml:space="preserve">рассматривается </w:t>
      </w:r>
      <w:r w:rsidR="00867DAE">
        <w:rPr>
          <w:szCs w:val="24"/>
        </w:rPr>
        <w:t xml:space="preserve">созданным решением Председателя Совета по Договорённости </w:t>
      </w:r>
      <w:r>
        <w:rPr>
          <w:szCs w:val="24"/>
        </w:rPr>
        <w:t>временным подкомитетом в составе не менее трёх оценщиков, внесённых в Реестр паритетных оценщиков</w:t>
      </w:r>
      <w:r w:rsidR="00867DAE">
        <w:rPr>
          <w:szCs w:val="24"/>
        </w:rPr>
        <w:t xml:space="preserve"> (не из числа оценщиков, представленных полноправным членом, направившим информацию об изменениях). </w:t>
      </w:r>
      <w:r w:rsidR="00867DAE" w:rsidRPr="00D2620E">
        <w:rPr>
          <w:szCs w:val="24"/>
        </w:rPr>
        <w:t xml:space="preserve">При необходимости у </w:t>
      </w:r>
      <w:r w:rsidR="00867DAE">
        <w:rPr>
          <w:szCs w:val="24"/>
        </w:rPr>
        <w:t>направившего информацию полноправного члена ЕААС</w:t>
      </w:r>
      <w:r w:rsidR="00867DAE" w:rsidRPr="00D2620E">
        <w:rPr>
          <w:szCs w:val="24"/>
        </w:rPr>
        <w:t xml:space="preserve"> мо</w:t>
      </w:r>
      <w:r w:rsidR="00867DAE">
        <w:rPr>
          <w:szCs w:val="24"/>
        </w:rPr>
        <w:t>гут</w:t>
      </w:r>
      <w:r w:rsidR="00867DAE" w:rsidRPr="00D2620E">
        <w:rPr>
          <w:szCs w:val="24"/>
        </w:rPr>
        <w:t xml:space="preserve"> быть запрошен</w:t>
      </w:r>
      <w:r w:rsidR="00867DAE">
        <w:rPr>
          <w:szCs w:val="24"/>
        </w:rPr>
        <w:t>ы</w:t>
      </w:r>
      <w:r w:rsidR="00867DAE" w:rsidRPr="00D2620E">
        <w:rPr>
          <w:szCs w:val="24"/>
        </w:rPr>
        <w:t xml:space="preserve"> дополнительн</w:t>
      </w:r>
      <w:r w:rsidR="00867DAE">
        <w:rPr>
          <w:szCs w:val="24"/>
        </w:rPr>
        <w:t>ые</w:t>
      </w:r>
      <w:r w:rsidR="00867DAE" w:rsidRPr="00D2620E">
        <w:rPr>
          <w:szCs w:val="24"/>
        </w:rPr>
        <w:t xml:space="preserve"> </w:t>
      </w:r>
      <w:r w:rsidR="00867DAE">
        <w:rPr>
          <w:szCs w:val="24"/>
        </w:rPr>
        <w:t xml:space="preserve">сведения. </w:t>
      </w:r>
    </w:p>
    <w:p w14:paraId="2397923A" w14:textId="6D72674E" w:rsidR="00CA7724" w:rsidRDefault="00867DAE" w:rsidP="00D2620E">
      <w:pPr>
        <w:pStyle w:val="af6"/>
        <w:numPr>
          <w:ilvl w:val="0"/>
          <w:numId w:val="31"/>
        </w:numPr>
        <w:ind w:left="0" w:firstLine="709"/>
        <w:jc w:val="both"/>
        <w:rPr>
          <w:szCs w:val="24"/>
        </w:rPr>
      </w:pPr>
      <w:r>
        <w:rPr>
          <w:szCs w:val="24"/>
        </w:rPr>
        <w:t>По итогам рассмотрения в течение двух недель (срок может быть скорректирован в случае запроса дополнительных сведений) направленная полноправным членом информация с соответствующими комментариями и предложениями выносится на рассмотрение</w:t>
      </w:r>
      <w:r w:rsidR="00D2620E" w:rsidRPr="00D2620E">
        <w:rPr>
          <w:szCs w:val="24"/>
        </w:rPr>
        <w:t xml:space="preserve"> Совета по Договорённости. </w:t>
      </w:r>
      <w:r>
        <w:rPr>
          <w:szCs w:val="24"/>
        </w:rPr>
        <w:t>Предложения могут в том числе предусматривать проведение</w:t>
      </w:r>
      <w:r w:rsidR="00D2620E" w:rsidRPr="00D2620E">
        <w:rPr>
          <w:szCs w:val="24"/>
        </w:rPr>
        <w:t xml:space="preserve"> внеочередн</w:t>
      </w:r>
      <w:r>
        <w:rPr>
          <w:szCs w:val="24"/>
        </w:rPr>
        <w:t>ой</w:t>
      </w:r>
      <w:r w:rsidR="00D2620E" w:rsidRPr="00D2620E">
        <w:rPr>
          <w:szCs w:val="24"/>
        </w:rPr>
        <w:t xml:space="preserve"> </w:t>
      </w:r>
      <w:r>
        <w:rPr>
          <w:szCs w:val="24"/>
        </w:rPr>
        <w:t>оценки, а при наличии серьёзных рисков для</w:t>
      </w:r>
      <w:r w:rsidR="00D2620E" w:rsidRPr="00D2620E">
        <w:rPr>
          <w:szCs w:val="24"/>
        </w:rPr>
        <w:t xml:space="preserve"> компетентност</w:t>
      </w:r>
      <w:r>
        <w:rPr>
          <w:szCs w:val="24"/>
        </w:rPr>
        <w:t>и</w:t>
      </w:r>
      <w:r w:rsidR="00D2620E" w:rsidRPr="00D2620E">
        <w:rPr>
          <w:szCs w:val="24"/>
        </w:rPr>
        <w:t xml:space="preserve"> органа-подписанта</w:t>
      </w:r>
      <w:r>
        <w:rPr>
          <w:szCs w:val="24"/>
        </w:rPr>
        <w:t xml:space="preserve"> и достоверности результ</w:t>
      </w:r>
      <w:bookmarkStart w:id="7" w:name="_GoBack"/>
      <w:bookmarkEnd w:id="7"/>
      <w:r>
        <w:rPr>
          <w:szCs w:val="24"/>
        </w:rPr>
        <w:t>атов его деятельности по аккредитации</w:t>
      </w:r>
      <w:r w:rsidR="008F2447">
        <w:rPr>
          <w:szCs w:val="24"/>
        </w:rPr>
        <w:t xml:space="preserve">, которые не могут быть </w:t>
      </w:r>
      <w:r w:rsidR="009F168C">
        <w:rPr>
          <w:szCs w:val="24"/>
        </w:rPr>
        <w:t>скорректированы</w:t>
      </w:r>
      <w:r w:rsidR="008F2447">
        <w:rPr>
          <w:szCs w:val="24"/>
        </w:rPr>
        <w:t>,</w:t>
      </w:r>
      <w:r>
        <w:rPr>
          <w:szCs w:val="24"/>
        </w:rPr>
        <w:t xml:space="preserve"> –</w:t>
      </w:r>
      <w:r w:rsidR="00D2620E" w:rsidRPr="00D2620E">
        <w:rPr>
          <w:szCs w:val="24"/>
        </w:rPr>
        <w:t xml:space="preserve"> </w:t>
      </w:r>
      <w:r>
        <w:rPr>
          <w:szCs w:val="24"/>
        </w:rPr>
        <w:t>приостановку или прекращение его членства в Договорённости о взаимном признании ЕААС</w:t>
      </w:r>
      <w:r w:rsidR="00D2620E" w:rsidRPr="00D2620E">
        <w:rPr>
          <w:szCs w:val="24"/>
        </w:rPr>
        <w:t>.</w:t>
      </w:r>
      <w:r w:rsidR="00CA7724">
        <w:rPr>
          <w:szCs w:val="24"/>
        </w:rPr>
        <w:t xml:space="preserve"> </w:t>
      </w:r>
    </w:p>
    <w:p w14:paraId="60A124AF" w14:textId="2373A242" w:rsidR="00D2620E" w:rsidRPr="00D2620E" w:rsidRDefault="00CA7724" w:rsidP="00D2620E">
      <w:pPr>
        <w:pStyle w:val="af6"/>
        <w:numPr>
          <w:ilvl w:val="0"/>
          <w:numId w:val="31"/>
        </w:numPr>
        <w:ind w:left="0" w:firstLine="709"/>
        <w:jc w:val="both"/>
        <w:rPr>
          <w:szCs w:val="24"/>
        </w:rPr>
      </w:pPr>
      <w:r>
        <w:rPr>
          <w:szCs w:val="24"/>
        </w:rPr>
        <w:lastRenderedPageBreak/>
        <w:t xml:space="preserve">Решение, принятое в этой связи Советом по Договорённости, доводится Секретариатом ЕААС до сведения всех членов ЕААС. Информация о нём также направляется в секретариаты </w:t>
      </w:r>
      <w:r>
        <w:rPr>
          <w:szCs w:val="24"/>
          <w:lang w:val="en-US"/>
        </w:rPr>
        <w:t>IAF</w:t>
      </w:r>
      <w:r w:rsidRPr="00CA7724">
        <w:rPr>
          <w:szCs w:val="24"/>
        </w:rPr>
        <w:t xml:space="preserve"> </w:t>
      </w:r>
      <w:r>
        <w:rPr>
          <w:szCs w:val="24"/>
        </w:rPr>
        <w:t xml:space="preserve">и </w:t>
      </w:r>
      <w:r>
        <w:rPr>
          <w:szCs w:val="24"/>
          <w:lang w:val="en-US"/>
        </w:rPr>
        <w:t>ILAC</w:t>
      </w:r>
      <w:r>
        <w:rPr>
          <w:szCs w:val="24"/>
        </w:rPr>
        <w:t>.</w:t>
      </w:r>
    </w:p>
    <w:p w14:paraId="30212919" w14:textId="720705F8" w:rsidR="00E02470" w:rsidRDefault="00C62DA2" w:rsidP="00E02470">
      <w:pPr>
        <w:pStyle w:val="af6"/>
        <w:numPr>
          <w:ilvl w:val="0"/>
          <w:numId w:val="31"/>
        </w:numPr>
        <w:ind w:left="0" w:firstLine="709"/>
        <w:jc w:val="both"/>
        <w:rPr>
          <w:szCs w:val="24"/>
        </w:rPr>
      </w:pPr>
      <w:r>
        <w:rPr>
          <w:szCs w:val="24"/>
        </w:rPr>
        <w:t xml:space="preserve">Приостановка и прекращение участия в Договорённости о взаимном признании ЕААС производится в соответствии с основаниями, указанными в документе </w:t>
      </w:r>
      <w:r>
        <w:rPr>
          <w:szCs w:val="24"/>
          <w:lang w:val="en-US"/>
        </w:rPr>
        <w:t>IAF</w:t>
      </w:r>
      <w:r w:rsidRPr="00C62DA2">
        <w:rPr>
          <w:szCs w:val="24"/>
        </w:rPr>
        <w:t>/</w:t>
      </w:r>
      <w:r>
        <w:rPr>
          <w:szCs w:val="24"/>
          <w:lang w:val="en-US"/>
        </w:rPr>
        <w:t>ILAC</w:t>
      </w:r>
      <w:r>
        <w:rPr>
          <w:szCs w:val="24"/>
        </w:rPr>
        <w:t>-А2.</w:t>
      </w:r>
    </w:p>
    <w:p w14:paraId="6145971B" w14:textId="77777777" w:rsidR="00BF32B0" w:rsidRDefault="00BF32B0" w:rsidP="00E02470">
      <w:pPr>
        <w:pStyle w:val="af6"/>
        <w:numPr>
          <w:ilvl w:val="0"/>
          <w:numId w:val="31"/>
        </w:numPr>
        <w:ind w:left="0" w:firstLine="709"/>
        <w:jc w:val="both"/>
        <w:rPr>
          <w:szCs w:val="24"/>
        </w:rPr>
      </w:pPr>
      <w:r>
        <w:rPr>
          <w:lang w:eastAsia="ru-RU"/>
        </w:rPr>
        <w:t xml:space="preserve">Изменения в Договорённость о взаимном признании ЕААС, в том числе включение в неё новых областей взаимного признания, осуществляются решением Генеральной Ассамблеи ЕААС на основе предложений, подготовленных и одобренных Советом по Договорённости. </w:t>
      </w:r>
      <w:r w:rsidR="00B516F5">
        <w:rPr>
          <w:szCs w:val="24"/>
        </w:rPr>
        <w:t>Для этого после принятия Советом по Договорённости решения о начале проработки соответствующего вопроса, Председателем Совета по Договорённости формируется рабочая группа в составе пр</w:t>
      </w:r>
      <w:r w:rsidR="00C0176B">
        <w:rPr>
          <w:szCs w:val="24"/>
        </w:rPr>
        <w:t>едставителя Секретариата ЕААС и</w:t>
      </w:r>
      <w:r w:rsidR="003A1189">
        <w:rPr>
          <w:szCs w:val="24"/>
        </w:rPr>
        <w:t xml:space="preserve"> </w:t>
      </w:r>
      <w:r w:rsidR="00B516F5">
        <w:rPr>
          <w:szCs w:val="24"/>
        </w:rPr>
        <w:t xml:space="preserve">не менее двух </w:t>
      </w:r>
      <w:r w:rsidR="00C0176B">
        <w:rPr>
          <w:szCs w:val="24"/>
        </w:rPr>
        <w:t xml:space="preserve">представителей полноправных членов ЕААС в Совете по Договорённости и/или </w:t>
      </w:r>
      <w:r w:rsidR="00B516F5">
        <w:rPr>
          <w:szCs w:val="24"/>
        </w:rPr>
        <w:t>оценщиков, внесённы</w:t>
      </w:r>
      <w:r w:rsidR="00C0176B">
        <w:rPr>
          <w:szCs w:val="24"/>
        </w:rPr>
        <w:t xml:space="preserve">х в Реестр паритетных оценщиков ЕААС. </w:t>
      </w:r>
      <w:r w:rsidR="00C0176B">
        <w:rPr>
          <w:lang w:eastAsia="ru-RU"/>
        </w:rPr>
        <w:t>Также по мере необходимости в состав рабочей группы могут быть включены оценщики и технические эксперты в соответствующей области из ОА – членов ЕААС и представители признанных ЕААС заинтересованных сторон.</w:t>
      </w:r>
      <w:r w:rsidR="00B516F5">
        <w:rPr>
          <w:szCs w:val="24"/>
        </w:rPr>
        <w:t xml:space="preserve"> </w:t>
      </w:r>
    </w:p>
    <w:p w14:paraId="76F45408" w14:textId="01140CF4" w:rsidR="00B516F5" w:rsidRDefault="00BF32B0" w:rsidP="00E02470">
      <w:pPr>
        <w:pStyle w:val="af6"/>
        <w:numPr>
          <w:ilvl w:val="0"/>
          <w:numId w:val="31"/>
        </w:numPr>
        <w:ind w:left="0" w:firstLine="709"/>
        <w:jc w:val="both"/>
        <w:rPr>
          <w:szCs w:val="24"/>
        </w:rPr>
      </w:pPr>
      <w:r>
        <w:rPr>
          <w:szCs w:val="24"/>
        </w:rPr>
        <w:t>При рассмотрении вопроса о расширении Договорённости о взаимном признании ЕААС на новую область, доклад, который</w:t>
      </w:r>
      <w:r w:rsidR="00B516F5">
        <w:rPr>
          <w:szCs w:val="24"/>
        </w:rPr>
        <w:t xml:space="preserve"> </w:t>
      </w:r>
      <w:r w:rsidR="00C0176B">
        <w:rPr>
          <w:szCs w:val="24"/>
        </w:rPr>
        <w:t xml:space="preserve">рабочая группа </w:t>
      </w:r>
      <w:r w:rsidR="003A1A53">
        <w:rPr>
          <w:szCs w:val="24"/>
        </w:rPr>
        <w:t>представляет Совету по Договорённости</w:t>
      </w:r>
      <w:r>
        <w:rPr>
          <w:szCs w:val="24"/>
        </w:rPr>
        <w:t>,</w:t>
      </w:r>
      <w:r w:rsidR="003A1A53">
        <w:rPr>
          <w:szCs w:val="24"/>
        </w:rPr>
        <w:t xml:space="preserve"> </w:t>
      </w:r>
      <w:r>
        <w:rPr>
          <w:szCs w:val="24"/>
        </w:rPr>
        <w:t>включает в себя по меньшей мере следующую информацию</w:t>
      </w:r>
      <w:r w:rsidR="003A1A53">
        <w:rPr>
          <w:szCs w:val="24"/>
        </w:rPr>
        <w:t>:</w:t>
      </w:r>
    </w:p>
    <w:p w14:paraId="628EF87D" w14:textId="77777777" w:rsidR="00B6376C" w:rsidRDefault="00B6376C" w:rsidP="00B6376C">
      <w:pPr>
        <w:pStyle w:val="af6"/>
        <w:numPr>
          <w:ilvl w:val="0"/>
          <w:numId w:val="34"/>
        </w:numPr>
        <w:jc w:val="both"/>
        <w:rPr>
          <w:szCs w:val="24"/>
        </w:rPr>
      </w:pPr>
      <w:r>
        <w:rPr>
          <w:szCs w:val="24"/>
        </w:rPr>
        <w:t xml:space="preserve">о наличии аналогичной области (подобласти) в договорённостях о взаимном признании </w:t>
      </w:r>
      <w:r>
        <w:rPr>
          <w:szCs w:val="24"/>
          <w:lang w:val="en-US"/>
        </w:rPr>
        <w:t>IAF</w:t>
      </w:r>
      <w:r w:rsidRPr="00B80052">
        <w:rPr>
          <w:szCs w:val="24"/>
        </w:rPr>
        <w:t xml:space="preserve">, </w:t>
      </w:r>
      <w:r>
        <w:rPr>
          <w:szCs w:val="24"/>
          <w:lang w:val="en-US"/>
        </w:rPr>
        <w:t>ILAC</w:t>
      </w:r>
      <w:r>
        <w:rPr>
          <w:szCs w:val="24"/>
        </w:rPr>
        <w:t>, а также иных региональных организаций по аккредитации;</w:t>
      </w:r>
    </w:p>
    <w:p w14:paraId="2CB04F13" w14:textId="2103CBAB" w:rsidR="003A1A53" w:rsidRDefault="003A1A53" w:rsidP="003A1A53">
      <w:pPr>
        <w:pStyle w:val="af6"/>
        <w:numPr>
          <w:ilvl w:val="0"/>
          <w:numId w:val="34"/>
        </w:numPr>
        <w:jc w:val="both"/>
        <w:rPr>
          <w:szCs w:val="24"/>
        </w:rPr>
      </w:pPr>
      <w:r>
        <w:rPr>
          <w:szCs w:val="24"/>
        </w:rPr>
        <w:t xml:space="preserve">о нормативной базе (международные стандарты, обязательные документы и руководств </w:t>
      </w:r>
      <w:r>
        <w:rPr>
          <w:szCs w:val="24"/>
          <w:lang w:val="en-US"/>
        </w:rPr>
        <w:t>IAF</w:t>
      </w:r>
      <w:r w:rsidRPr="003A1A53">
        <w:rPr>
          <w:szCs w:val="24"/>
        </w:rPr>
        <w:t>/</w:t>
      </w:r>
      <w:r>
        <w:rPr>
          <w:szCs w:val="24"/>
          <w:lang w:val="en-US"/>
        </w:rPr>
        <w:t>ILAC</w:t>
      </w:r>
      <w:r>
        <w:rPr>
          <w:szCs w:val="24"/>
        </w:rPr>
        <w:t>, технические регламенты и т.д.), определяющие необходимые критерии аккредитации органов по оценке соответствия в данной области;</w:t>
      </w:r>
    </w:p>
    <w:p w14:paraId="29A91958" w14:textId="51267F88" w:rsidR="003A1A53" w:rsidRDefault="003A1A53" w:rsidP="003A1A53">
      <w:pPr>
        <w:pStyle w:val="af6"/>
        <w:numPr>
          <w:ilvl w:val="0"/>
          <w:numId w:val="34"/>
        </w:numPr>
        <w:jc w:val="both"/>
        <w:rPr>
          <w:szCs w:val="24"/>
        </w:rPr>
      </w:pPr>
      <w:r>
        <w:rPr>
          <w:szCs w:val="24"/>
        </w:rPr>
        <w:t>порядок проведения паритетной оценки для данной области;</w:t>
      </w:r>
    </w:p>
    <w:p w14:paraId="4CF76AC2" w14:textId="56AB3C3E" w:rsidR="003A1A53" w:rsidRDefault="003A1A53" w:rsidP="003A1A53">
      <w:pPr>
        <w:pStyle w:val="af6"/>
        <w:numPr>
          <w:ilvl w:val="0"/>
          <w:numId w:val="34"/>
        </w:numPr>
        <w:jc w:val="both"/>
        <w:rPr>
          <w:szCs w:val="24"/>
        </w:rPr>
      </w:pPr>
      <w:r>
        <w:rPr>
          <w:szCs w:val="24"/>
        </w:rPr>
        <w:t>оценку ресурсов ЕААС для проведения паритетной оценки в данной области, включая предложения о дополнительной подготовке оценщиков</w:t>
      </w:r>
      <w:r w:rsidR="00B80052">
        <w:rPr>
          <w:szCs w:val="24"/>
        </w:rPr>
        <w:t xml:space="preserve"> для проведения паритетных оценок</w:t>
      </w:r>
      <w:r>
        <w:rPr>
          <w:szCs w:val="24"/>
        </w:rPr>
        <w:t>, если требуется;</w:t>
      </w:r>
    </w:p>
    <w:p w14:paraId="2B348E7E" w14:textId="6C8DB6EF" w:rsidR="00B80052" w:rsidRDefault="00B80052" w:rsidP="00B80052">
      <w:pPr>
        <w:pStyle w:val="af6"/>
        <w:numPr>
          <w:ilvl w:val="0"/>
          <w:numId w:val="34"/>
        </w:numPr>
        <w:jc w:val="both"/>
        <w:rPr>
          <w:szCs w:val="24"/>
        </w:rPr>
      </w:pPr>
      <w:r>
        <w:rPr>
          <w:szCs w:val="24"/>
        </w:rPr>
        <w:lastRenderedPageBreak/>
        <w:t>рекомендацию</w:t>
      </w:r>
      <w:r w:rsidR="003A1A53">
        <w:rPr>
          <w:szCs w:val="24"/>
        </w:rPr>
        <w:t xml:space="preserve"> о целесообразности / нецелесообразности включения данной области (подобласти) в Договорённость о взаимном признании ЕААС</w:t>
      </w:r>
      <w:r>
        <w:rPr>
          <w:szCs w:val="24"/>
        </w:rPr>
        <w:t>;</w:t>
      </w:r>
    </w:p>
    <w:p w14:paraId="4A3424D5" w14:textId="182335F2" w:rsidR="003A1A53" w:rsidRDefault="00B80052" w:rsidP="00E92E26">
      <w:pPr>
        <w:pStyle w:val="af6"/>
        <w:numPr>
          <w:ilvl w:val="0"/>
          <w:numId w:val="34"/>
        </w:numPr>
        <w:jc w:val="both"/>
        <w:rPr>
          <w:szCs w:val="24"/>
        </w:rPr>
      </w:pPr>
      <w:r w:rsidRPr="00B80052">
        <w:rPr>
          <w:szCs w:val="24"/>
        </w:rPr>
        <w:t>в случае, если вносится рекомендация о целесообразности включения данной области (подобласти) в Договорённость о взаимном признании ЕААС, также представляется проект план-графика соответствующих мероприятий, а также предложения об организации процесса регулярной подготовки и аттестации паритетных оценщиков для данной области.</w:t>
      </w:r>
    </w:p>
    <w:p w14:paraId="19D3FDD9" w14:textId="77777777" w:rsidR="00BF32B0" w:rsidRPr="00BF32B0" w:rsidRDefault="00BF32B0" w:rsidP="00BF32B0">
      <w:pPr>
        <w:pStyle w:val="af6"/>
        <w:numPr>
          <w:ilvl w:val="0"/>
          <w:numId w:val="31"/>
        </w:numPr>
        <w:ind w:left="0" w:firstLine="709"/>
        <w:jc w:val="both"/>
        <w:rPr>
          <w:szCs w:val="24"/>
        </w:rPr>
      </w:pPr>
      <w:r w:rsidRPr="00BF32B0">
        <w:rPr>
          <w:szCs w:val="24"/>
        </w:rPr>
        <w:t>Рассмотрение вопроса о внесении изменений в Договорённость о взаимном признании ЕААС может быть инициировано мотивированным обращением в Совет по Договорённости полноправного члена ЕААС, либо вызвано необходимостью актуализации Договорённости о взаимном признании ЕААС в связи с внесением изменений в договорённости о взаимном признании IAF MLA / ILAC MRA.</w:t>
      </w:r>
    </w:p>
    <w:p w14:paraId="13B69B65" w14:textId="77777777" w:rsidR="00AA70B5" w:rsidRPr="00894427" w:rsidRDefault="00AA70B5" w:rsidP="00AA70B5">
      <w:pPr>
        <w:pStyle w:val="aa"/>
        <w:spacing w:line="360" w:lineRule="auto"/>
        <w:ind w:left="709" w:firstLine="0"/>
        <w:rPr>
          <w:sz w:val="24"/>
          <w:lang w:val="ru-RU"/>
        </w:rPr>
      </w:pPr>
    </w:p>
    <w:p w14:paraId="21BD8286" w14:textId="6D9D43C4" w:rsidR="006B6E76" w:rsidRPr="00B516F5" w:rsidRDefault="00B214B5" w:rsidP="00B516F5">
      <w:pPr>
        <w:pStyle w:val="1"/>
        <w:numPr>
          <w:ilvl w:val="0"/>
          <w:numId w:val="5"/>
        </w:numPr>
        <w:spacing w:before="120" w:after="120" w:line="36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bookmarkStart w:id="8" w:name="_Toc84490146"/>
      <w:r w:rsidRPr="00B516F5">
        <w:rPr>
          <w:rFonts w:ascii="Times New Roman" w:hAnsi="Times New Roman" w:cs="Times New Roman"/>
          <w:sz w:val="24"/>
          <w:szCs w:val="24"/>
        </w:rPr>
        <w:t>Расходы на проведение оценки</w:t>
      </w:r>
      <w:bookmarkEnd w:id="8"/>
    </w:p>
    <w:p w14:paraId="34C959B1" w14:textId="77777777" w:rsidR="00105502" w:rsidRPr="00894427" w:rsidRDefault="00105502" w:rsidP="00AA70B5">
      <w:pPr>
        <w:pStyle w:val="af6"/>
        <w:numPr>
          <w:ilvl w:val="0"/>
          <w:numId w:val="32"/>
        </w:numPr>
        <w:ind w:left="0" w:firstLine="709"/>
        <w:jc w:val="both"/>
        <w:rPr>
          <w:szCs w:val="24"/>
        </w:rPr>
      </w:pPr>
      <w:r w:rsidRPr="00894427">
        <w:rPr>
          <w:szCs w:val="24"/>
        </w:rPr>
        <w:t xml:space="preserve">Расходы, связанные с проживанием, питанием и транспортным расходам </w:t>
      </w:r>
      <w:proofErr w:type="gramStart"/>
      <w:r w:rsidRPr="00894427">
        <w:rPr>
          <w:szCs w:val="24"/>
        </w:rPr>
        <w:t>группы по паритетной оценке</w:t>
      </w:r>
      <w:proofErr w:type="gramEnd"/>
      <w:r w:rsidRPr="00894427">
        <w:rPr>
          <w:szCs w:val="24"/>
        </w:rPr>
        <w:t>, несёт о</w:t>
      </w:r>
      <w:r w:rsidR="00226F9B" w:rsidRPr="00894427">
        <w:rPr>
          <w:szCs w:val="24"/>
        </w:rPr>
        <w:t xml:space="preserve">рган по аккредитации, </w:t>
      </w:r>
      <w:r w:rsidRPr="00894427">
        <w:rPr>
          <w:szCs w:val="24"/>
        </w:rPr>
        <w:t>являющийся объектом</w:t>
      </w:r>
      <w:r w:rsidR="00226F9B" w:rsidRPr="00894427">
        <w:rPr>
          <w:szCs w:val="24"/>
        </w:rPr>
        <w:t xml:space="preserve"> паритетной оценк</w:t>
      </w:r>
      <w:r w:rsidRPr="00894427">
        <w:rPr>
          <w:szCs w:val="24"/>
        </w:rPr>
        <w:t>и</w:t>
      </w:r>
      <w:r w:rsidR="00226F9B" w:rsidRPr="00894427">
        <w:rPr>
          <w:szCs w:val="24"/>
        </w:rPr>
        <w:t xml:space="preserve">. </w:t>
      </w:r>
    </w:p>
    <w:p w14:paraId="4E696EE6" w14:textId="425B2A00" w:rsidR="00105502" w:rsidRPr="00894427" w:rsidRDefault="00105502" w:rsidP="00AA70B5">
      <w:pPr>
        <w:pStyle w:val="af6"/>
        <w:numPr>
          <w:ilvl w:val="0"/>
          <w:numId w:val="32"/>
        </w:numPr>
        <w:ind w:left="0" w:firstLine="709"/>
        <w:jc w:val="both"/>
        <w:rPr>
          <w:szCs w:val="24"/>
        </w:rPr>
      </w:pPr>
      <w:r w:rsidRPr="00894427">
        <w:rPr>
          <w:szCs w:val="24"/>
        </w:rPr>
        <w:t xml:space="preserve">Расходы на проживание оплачиваются за период, связанный с проведением оценки. Расходы за проживание вне периода, связанного с проведением паритетной оценки, оплачиваются участником </w:t>
      </w:r>
      <w:proofErr w:type="gramStart"/>
      <w:r w:rsidRPr="00894427">
        <w:rPr>
          <w:szCs w:val="24"/>
        </w:rPr>
        <w:t>группы по паритетной оценке</w:t>
      </w:r>
      <w:proofErr w:type="gramEnd"/>
      <w:r w:rsidRPr="00894427">
        <w:rPr>
          <w:szCs w:val="24"/>
        </w:rPr>
        <w:t xml:space="preserve"> самостоятельно. </w:t>
      </w:r>
    </w:p>
    <w:p w14:paraId="14BAD7BF" w14:textId="6D31E2EE" w:rsidR="00105502" w:rsidRPr="00894427" w:rsidRDefault="00105502" w:rsidP="00AA70B5">
      <w:pPr>
        <w:pStyle w:val="af6"/>
        <w:numPr>
          <w:ilvl w:val="0"/>
          <w:numId w:val="32"/>
        </w:numPr>
        <w:ind w:left="0" w:firstLine="709"/>
        <w:jc w:val="both"/>
        <w:rPr>
          <w:szCs w:val="24"/>
        </w:rPr>
      </w:pPr>
      <w:r w:rsidRPr="00894427">
        <w:rPr>
          <w:szCs w:val="24"/>
        </w:rPr>
        <w:t xml:space="preserve">Период, связанный с проведением оценки, рассчитывается с учётом необходимости </w:t>
      </w:r>
      <w:r w:rsidR="005708A2" w:rsidRPr="00894427">
        <w:rPr>
          <w:szCs w:val="24"/>
        </w:rPr>
        <w:t xml:space="preserve">нормального отдыха участников группы по оценке до и после её проведения, а также с учётом организации во второй половине дня накануне оценки совещания </w:t>
      </w:r>
      <w:proofErr w:type="gramStart"/>
      <w:r w:rsidR="005708A2" w:rsidRPr="00894427">
        <w:rPr>
          <w:szCs w:val="24"/>
        </w:rPr>
        <w:t>группы по паритетной оценке</w:t>
      </w:r>
      <w:proofErr w:type="gramEnd"/>
      <w:r w:rsidR="005708A2" w:rsidRPr="00894427">
        <w:rPr>
          <w:szCs w:val="24"/>
        </w:rPr>
        <w:t>, если это предусмотрено планом паритетной оценке.</w:t>
      </w:r>
      <w:r w:rsidR="004D0DF0" w:rsidRPr="00894427">
        <w:rPr>
          <w:szCs w:val="24"/>
        </w:rPr>
        <w:t xml:space="preserve"> Таким образом, как правило, прилёт участников </w:t>
      </w:r>
      <w:proofErr w:type="gramStart"/>
      <w:r w:rsidR="004D0DF0" w:rsidRPr="00894427">
        <w:rPr>
          <w:szCs w:val="24"/>
        </w:rPr>
        <w:t>группы по паритетной оценке</w:t>
      </w:r>
      <w:proofErr w:type="gramEnd"/>
      <w:r w:rsidR="004D0DF0" w:rsidRPr="00894427">
        <w:rPr>
          <w:szCs w:val="24"/>
        </w:rPr>
        <w:t xml:space="preserve"> следует планировать рейсами, прибывающими в аэропорт не позднее 15 часов дня накануне оценки, а отъезд – в день, следующий за последним днём оценки. Оплата при этом рассчитывается с учётом контрольного времени заезда / отъезда, установленного конкретной гостиницей. </w:t>
      </w:r>
    </w:p>
    <w:p w14:paraId="6992FE12" w14:textId="6AA4B421" w:rsidR="00DF1DAC" w:rsidRPr="00894427" w:rsidRDefault="00DF1DAC" w:rsidP="00AA70B5">
      <w:pPr>
        <w:pStyle w:val="af6"/>
        <w:numPr>
          <w:ilvl w:val="0"/>
          <w:numId w:val="32"/>
        </w:numPr>
        <w:ind w:left="0" w:firstLine="709"/>
        <w:jc w:val="both"/>
        <w:rPr>
          <w:szCs w:val="24"/>
        </w:rPr>
      </w:pPr>
      <w:r w:rsidRPr="00894427">
        <w:rPr>
          <w:szCs w:val="24"/>
        </w:rPr>
        <w:lastRenderedPageBreak/>
        <w:t xml:space="preserve">В транспортные расходы включаются расходы, связанные с проездом участника </w:t>
      </w:r>
      <w:proofErr w:type="gramStart"/>
      <w:r w:rsidRPr="00894427">
        <w:rPr>
          <w:szCs w:val="24"/>
        </w:rPr>
        <w:t>группы по паритетной оценке</w:t>
      </w:r>
      <w:proofErr w:type="gramEnd"/>
      <w:r w:rsidRPr="00894427">
        <w:rPr>
          <w:szCs w:val="24"/>
        </w:rPr>
        <w:t xml:space="preserve"> от места проживания до места проведения оценки и обратно. При этом участник </w:t>
      </w:r>
      <w:proofErr w:type="gramStart"/>
      <w:r w:rsidRPr="00894427">
        <w:rPr>
          <w:szCs w:val="24"/>
        </w:rPr>
        <w:t>группы по паритетной оценке</w:t>
      </w:r>
      <w:proofErr w:type="gramEnd"/>
      <w:r w:rsidRPr="00894427">
        <w:rPr>
          <w:szCs w:val="24"/>
        </w:rPr>
        <w:t xml:space="preserve"> должен предоставить в орган по аккредитации, являющийся объектом паритетной оценки, необходимые для оформления его финансовой отчётности документы (билеты, квитанции и т.п.). Орган по аккредитации, являющийся объектом паритетной оценки, в свою очередь, обязан заблаговременно информировать </w:t>
      </w:r>
      <w:proofErr w:type="gramStart"/>
      <w:r w:rsidR="00C12C2D" w:rsidRPr="00894427">
        <w:rPr>
          <w:szCs w:val="24"/>
        </w:rPr>
        <w:t>группу по паритетной оценке</w:t>
      </w:r>
      <w:proofErr w:type="gramEnd"/>
      <w:r w:rsidR="00C12C2D" w:rsidRPr="00894427">
        <w:rPr>
          <w:szCs w:val="24"/>
        </w:rPr>
        <w:t xml:space="preserve"> о составе соответствующих документов и форме их предоставления.</w:t>
      </w:r>
    </w:p>
    <w:p w14:paraId="67DDB206" w14:textId="6EFDEE4A" w:rsidR="00DF1DAC" w:rsidRPr="00894427" w:rsidRDefault="00DF1DAC" w:rsidP="00AA70B5">
      <w:pPr>
        <w:pStyle w:val="af6"/>
        <w:numPr>
          <w:ilvl w:val="0"/>
          <w:numId w:val="32"/>
        </w:numPr>
        <w:ind w:left="0" w:firstLine="709"/>
        <w:jc w:val="both"/>
        <w:rPr>
          <w:szCs w:val="24"/>
        </w:rPr>
      </w:pPr>
      <w:r w:rsidRPr="00894427">
        <w:rPr>
          <w:szCs w:val="24"/>
        </w:rPr>
        <w:t xml:space="preserve">В случае, если начальный / конечный пункт маршрута участника </w:t>
      </w:r>
      <w:proofErr w:type="gramStart"/>
      <w:r w:rsidRPr="00894427">
        <w:rPr>
          <w:szCs w:val="24"/>
        </w:rPr>
        <w:t>группы по паритетной оценке</w:t>
      </w:r>
      <w:proofErr w:type="gramEnd"/>
      <w:r w:rsidRPr="00894427">
        <w:rPr>
          <w:szCs w:val="24"/>
        </w:rPr>
        <w:t xml:space="preserve"> не является местом его проживания, компенсация транспортных расходов производится с учётом п. 5.4.</w:t>
      </w:r>
    </w:p>
    <w:p w14:paraId="3C43D5F1" w14:textId="22C482E1" w:rsidR="00A27903" w:rsidRPr="00894427" w:rsidRDefault="00226F9B" w:rsidP="00AA70B5">
      <w:pPr>
        <w:pStyle w:val="af6"/>
        <w:numPr>
          <w:ilvl w:val="0"/>
          <w:numId w:val="32"/>
        </w:numPr>
        <w:ind w:left="0" w:firstLine="709"/>
        <w:jc w:val="both"/>
        <w:rPr>
          <w:szCs w:val="24"/>
        </w:rPr>
      </w:pPr>
      <w:r w:rsidRPr="00894427">
        <w:rPr>
          <w:szCs w:val="24"/>
        </w:rPr>
        <w:t xml:space="preserve">Перелет </w:t>
      </w:r>
      <w:r w:rsidR="00DF1DAC" w:rsidRPr="00894427">
        <w:rPr>
          <w:szCs w:val="24"/>
        </w:rPr>
        <w:t>оплачивается из расчёта приобретения билета</w:t>
      </w:r>
      <w:r w:rsidRPr="00894427">
        <w:rPr>
          <w:szCs w:val="24"/>
        </w:rPr>
        <w:t xml:space="preserve"> эконом класс</w:t>
      </w:r>
      <w:r w:rsidR="00DF1DAC" w:rsidRPr="00894427">
        <w:rPr>
          <w:szCs w:val="24"/>
        </w:rPr>
        <w:t>а</w:t>
      </w:r>
      <w:r w:rsidRPr="00894427">
        <w:rPr>
          <w:szCs w:val="24"/>
        </w:rPr>
        <w:t>.</w:t>
      </w:r>
      <w:r w:rsidR="00DF1DAC" w:rsidRPr="00894427">
        <w:rPr>
          <w:szCs w:val="24"/>
        </w:rPr>
        <w:t xml:space="preserve"> Повышение класса обслуживания оплачивается участником группы по паритетной оценке.</w:t>
      </w:r>
    </w:p>
    <w:p w14:paraId="252AA077" w14:textId="77777777" w:rsidR="004A1401" w:rsidRPr="00894427" w:rsidRDefault="004A1401" w:rsidP="00AA70B5">
      <w:pPr>
        <w:pStyle w:val="af6"/>
        <w:numPr>
          <w:ilvl w:val="0"/>
          <w:numId w:val="32"/>
        </w:numPr>
        <w:ind w:left="0" w:firstLine="709"/>
        <w:jc w:val="both"/>
        <w:rPr>
          <w:rFonts w:cs="Times New Roman"/>
          <w:szCs w:val="24"/>
        </w:rPr>
      </w:pPr>
      <w:bookmarkStart w:id="9" w:name="_Toc528239855"/>
      <w:r w:rsidRPr="00894427">
        <w:rPr>
          <w:rFonts w:cs="Times New Roman"/>
          <w:szCs w:val="24"/>
        </w:rPr>
        <w:t xml:space="preserve">Питание оплачивается участникам </w:t>
      </w:r>
      <w:proofErr w:type="gramStart"/>
      <w:r w:rsidRPr="00894427">
        <w:rPr>
          <w:rFonts w:cs="Times New Roman"/>
          <w:szCs w:val="24"/>
        </w:rPr>
        <w:t>группы по паритетной оценке</w:t>
      </w:r>
      <w:proofErr w:type="gramEnd"/>
      <w:r w:rsidRPr="00894427">
        <w:rPr>
          <w:rFonts w:cs="Times New Roman"/>
          <w:szCs w:val="24"/>
        </w:rPr>
        <w:t xml:space="preserve"> в разумных пределах.</w:t>
      </w:r>
    </w:p>
    <w:p w14:paraId="75F7A9CA" w14:textId="7F589977" w:rsidR="001734A4" w:rsidRDefault="004A1401" w:rsidP="00AA70B5">
      <w:pPr>
        <w:pStyle w:val="af6"/>
        <w:numPr>
          <w:ilvl w:val="0"/>
          <w:numId w:val="32"/>
        </w:numPr>
        <w:ind w:left="0" w:firstLine="709"/>
        <w:jc w:val="both"/>
        <w:rPr>
          <w:rFonts w:cs="Times New Roman"/>
          <w:szCs w:val="24"/>
        </w:rPr>
      </w:pPr>
      <w:r w:rsidRPr="00894427">
        <w:rPr>
          <w:rFonts w:cs="Times New Roman"/>
          <w:szCs w:val="24"/>
        </w:rPr>
        <w:t xml:space="preserve">Прочие расходы, связанные с командированием участника </w:t>
      </w:r>
      <w:proofErr w:type="gramStart"/>
      <w:r w:rsidRPr="00894427">
        <w:rPr>
          <w:rFonts w:cs="Times New Roman"/>
          <w:szCs w:val="24"/>
        </w:rPr>
        <w:t>группы по паритетной оценке</w:t>
      </w:r>
      <w:proofErr w:type="gramEnd"/>
      <w:r w:rsidRPr="00894427">
        <w:rPr>
          <w:rFonts w:cs="Times New Roman"/>
          <w:szCs w:val="24"/>
        </w:rPr>
        <w:t>, оплачиваются органом по аккредитации, в котором он работает, в соответствии с установленными в нём правилами и нормами местного законодательства.</w:t>
      </w:r>
      <w:r w:rsidR="001734A4" w:rsidRPr="00894427">
        <w:rPr>
          <w:rFonts w:cs="Times New Roman"/>
          <w:szCs w:val="24"/>
        </w:rPr>
        <w:t xml:space="preserve"> </w:t>
      </w:r>
    </w:p>
    <w:p w14:paraId="78DF67EC" w14:textId="77777777" w:rsidR="00C7157C" w:rsidRPr="00894427" w:rsidRDefault="00C7157C" w:rsidP="00C7157C">
      <w:pPr>
        <w:pStyle w:val="af6"/>
        <w:ind w:left="709" w:firstLine="0"/>
        <w:jc w:val="both"/>
        <w:rPr>
          <w:rFonts w:cs="Times New Roman"/>
          <w:szCs w:val="24"/>
        </w:rPr>
      </w:pPr>
    </w:p>
    <w:p w14:paraId="4F0F6D39" w14:textId="77777777" w:rsidR="00080805" w:rsidRPr="00894427" w:rsidRDefault="009B39AF" w:rsidP="00117432">
      <w:pPr>
        <w:pStyle w:val="1"/>
        <w:numPr>
          <w:ilvl w:val="0"/>
          <w:numId w:val="5"/>
        </w:numPr>
        <w:spacing w:before="120" w:after="120" w:line="36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bookmarkStart w:id="10" w:name="_Toc84490147"/>
      <w:r w:rsidRPr="00894427">
        <w:rPr>
          <w:rFonts w:ascii="Times New Roman" w:hAnsi="Times New Roman" w:cs="Times New Roman"/>
          <w:sz w:val="24"/>
          <w:szCs w:val="24"/>
        </w:rPr>
        <w:t>Авторские права</w:t>
      </w:r>
      <w:bookmarkEnd w:id="9"/>
      <w:bookmarkEnd w:id="10"/>
    </w:p>
    <w:p w14:paraId="1DDE1513" w14:textId="65E1006E" w:rsidR="00EF491D" w:rsidRPr="00894427" w:rsidRDefault="009B39AF" w:rsidP="00117432">
      <w:pPr>
        <w:pStyle w:val="aa"/>
        <w:numPr>
          <w:ilvl w:val="1"/>
          <w:numId w:val="5"/>
        </w:numPr>
        <w:tabs>
          <w:tab w:val="left" w:pos="993"/>
        </w:tabs>
        <w:spacing w:line="360" w:lineRule="auto"/>
        <w:ind w:left="0" w:firstLine="709"/>
        <w:rPr>
          <w:sz w:val="24"/>
          <w:lang w:val="ru-RU"/>
        </w:rPr>
      </w:pPr>
      <w:r w:rsidRPr="00894427">
        <w:rPr>
          <w:sz w:val="24"/>
          <w:lang w:val="ru-RU"/>
        </w:rPr>
        <w:t xml:space="preserve">Авторские права на данный документ принадлежат </w:t>
      </w:r>
      <w:r w:rsidR="00D663E7" w:rsidRPr="00894427">
        <w:rPr>
          <w:sz w:val="24"/>
          <w:lang w:val="ru-RU"/>
        </w:rPr>
        <w:t>ЕААС</w:t>
      </w:r>
      <w:r w:rsidR="00EF491D" w:rsidRPr="00894427">
        <w:rPr>
          <w:sz w:val="24"/>
          <w:lang w:val="ru-RU"/>
        </w:rPr>
        <w:t>.</w:t>
      </w:r>
      <w:r w:rsidRPr="00894427">
        <w:rPr>
          <w:sz w:val="24"/>
          <w:lang w:val="ru-RU"/>
        </w:rPr>
        <w:t xml:space="preserve"> Любая публикация, в том числе в сети Интернет, для организаций, не являющихся участниками </w:t>
      </w:r>
      <w:r w:rsidR="00D663E7" w:rsidRPr="00894427">
        <w:rPr>
          <w:sz w:val="24"/>
          <w:lang w:val="ru-RU"/>
        </w:rPr>
        <w:t>ЕААС</w:t>
      </w:r>
      <w:r w:rsidRPr="00894427">
        <w:rPr>
          <w:sz w:val="24"/>
          <w:lang w:val="ru-RU"/>
        </w:rPr>
        <w:t>, возможна</w:t>
      </w:r>
      <w:r w:rsidR="00265C82" w:rsidRPr="00894427">
        <w:rPr>
          <w:sz w:val="24"/>
          <w:lang w:val="ru-RU"/>
        </w:rPr>
        <w:t xml:space="preserve"> только</w:t>
      </w:r>
      <w:r w:rsidRPr="00894427">
        <w:rPr>
          <w:sz w:val="24"/>
          <w:lang w:val="ru-RU"/>
        </w:rPr>
        <w:t xml:space="preserve"> с письменного разрешения секретариата </w:t>
      </w:r>
      <w:r w:rsidR="00D663E7" w:rsidRPr="00894427">
        <w:rPr>
          <w:sz w:val="24"/>
          <w:lang w:val="ru-RU"/>
        </w:rPr>
        <w:t>ЕААС</w:t>
      </w:r>
      <w:r w:rsidRPr="00894427">
        <w:rPr>
          <w:sz w:val="24"/>
          <w:lang w:val="ru-RU"/>
        </w:rPr>
        <w:t xml:space="preserve"> и при обязательном указании авторства </w:t>
      </w:r>
      <w:r w:rsidR="00D663E7" w:rsidRPr="00894427">
        <w:rPr>
          <w:sz w:val="24"/>
          <w:lang w:val="ru-RU"/>
        </w:rPr>
        <w:t>ЕААС</w:t>
      </w:r>
      <w:r w:rsidRPr="00894427">
        <w:rPr>
          <w:sz w:val="24"/>
          <w:lang w:val="ru-RU"/>
        </w:rPr>
        <w:t xml:space="preserve">. Запрос для получения разрешения направлять в секретариат по электронной </w:t>
      </w:r>
      <w:proofErr w:type="gramStart"/>
      <w:r w:rsidRPr="00894427">
        <w:rPr>
          <w:sz w:val="24"/>
          <w:lang w:val="ru-RU"/>
        </w:rPr>
        <w:t>почте:_</w:t>
      </w:r>
      <w:proofErr w:type="gramEnd"/>
      <w:r w:rsidRPr="00894427">
        <w:rPr>
          <w:sz w:val="24"/>
          <w:lang w:val="ru-RU"/>
        </w:rPr>
        <w:t>__________.</w:t>
      </w:r>
    </w:p>
    <w:sectPr w:rsidR="00EF491D" w:rsidRPr="00894427" w:rsidSect="00313B96">
      <w:type w:val="continuous"/>
      <w:pgSz w:w="11906" w:h="16838"/>
      <w:pgMar w:top="1134" w:right="850" w:bottom="1134" w:left="1701" w:header="284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420BE2" w16cid:durableId="1F7C5343"/>
  <w16cid:commentId w16cid:paraId="41CEAAE1" w16cid:durableId="1F7C5484"/>
  <w16cid:commentId w16cid:paraId="307E420C" w16cid:durableId="1F7C559A"/>
  <w16cid:commentId w16cid:paraId="76B884B2" w16cid:durableId="1F7C567F"/>
  <w16cid:commentId w16cid:paraId="1FC7A5AA" w16cid:durableId="1F7C58DD"/>
  <w16cid:commentId w16cid:paraId="492B2E1E" w16cid:durableId="1F7C59F5"/>
  <w16cid:commentId w16cid:paraId="18951A0E" w16cid:durableId="1F7C5B46"/>
  <w16cid:commentId w16cid:paraId="2B1546CE" w16cid:durableId="1F7C5B5C"/>
  <w16cid:commentId w16cid:paraId="6A4A1DC2" w16cid:durableId="1F7C5C16"/>
  <w16cid:commentId w16cid:paraId="38647BE9" w16cid:durableId="1F7C5C45"/>
  <w16cid:commentId w16cid:paraId="01F26AB9" w16cid:durableId="1F7C5D7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FB093E" w14:textId="77777777" w:rsidR="000F04EB" w:rsidRDefault="000F04EB" w:rsidP="002900C0">
      <w:pPr>
        <w:spacing w:line="240" w:lineRule="auto"/>
      </w:pPr>
      <w:r>
        <w:separator/>
      </w:r>
    </w:p>
  </w:endnote>
  <w:endnote w:type="continuationSeparator" w:id="0">
    <w:p w14:paraId="00D2343A" w14:textId="77777777" w:rsidR="000F04EB" w:rsidRDefault="000F04EB" w:rsidP="002900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ans-Condense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FF132" w14:textId="3D856697" w:rsidR="00DC4BE8" w:rsidRPr="0039404D" w:rsidRDefault="00DC4BE8" w:rsidP="00B14549">
    <w:pPr>
      <w:pStyle w:val="a5"/>
      <w:pBdr>
        <w:top w:val="single" w:sz="12" w:space="1" w:color="auto"/>
      </w:pBdr>
      <w:tabs>
        <w:tab w:val="center" w:pos="-5670"/>
        <w:tab w:val="right" w:pos="9781"/>
      </w:tabs>
      <w:spacing w:before="120"/>
      <w:ind w:left="-567" w:right="-142" w:firstLine="283"/>
      <w:jc w:val="center"/>
      <w:rPr>
        <w:b/>
        <w:i/>
        <w:iCs/>
        <w:sz w:val="20"/>
      </w:rPr>
    </w:pPr>
    <w:r w:rsidRPr="0039404D">
      <w:rPr>
        <w:i/>
        <w:iCs/>
        <w:sz w:val="20"/>
      </w:rPr>
      <w:t xml:space="preserve">Контролируемый экземпляр размещен </w:t>
    </w:r>
    <w:r>
      <w:rPr>
        <w:i/>
        <w:iCs/>
        <w:sz w:val="20"/>
      </w:rPr>
      <w:t xml:space="preserve">на сайте </w:t>
    </w:r>
    <w:r w:rsidR="00D663E7">
      <w:rPr>
        <w:i/>
        <w:iCs/>
        <w:sz w:val="20"/>
      </w:rPr>
      <w:t>Евразийского сотрудничества</w:t>
    </w:r>
    <w:r>
      <w:rPr>
        <w:i/>
        <w:iCs/>
        <w:sz w:val="20"/>
      </w:rPr>
      <w:t xml:space="preserve"> по аккредитации</w:t>
    </w:r>
  </w:p>
  <w:p w14:paraId="3D34CE73" w14:textId="77777777" w:rsidR="00DC4BE8" w:rsidRPr="0039404D" w:rsidRDefault="00DC4BE8" w:rsidP="00B14549">
    <w:pPr>
      <w:pStyle w:val="a5"/>
      <w:tabs>
        <w:tab w:val="right" w:pos="9781"/>
      </w:tabs>
      <w:ind w:left="-567" w:firstLine="283"/>
      <w:jc w:val="center"/>
      <w:rPr>
        <w:i/>
        <w:iCs/>
        <w:sz w:val="20"/>
      </w:rPr>
    </w:pPr>
    <w:r w:rsidRPr="0039404D">
      <w:rPr>
        <w:b/>
        <w:i/>
        <w:iCs/>
        <w:sz w:val="20"/>
      </w:rPr>
      <w:t>Сохраненный или распечатанный документ не является контролируемым экземпляром</w:t>
    </w:r>
  </w:p>
  <w:p w14:paraId="2DE0EFF7" w14:textId="77777777" w:rsidR="00DC4BE8" w:rsidRPr="00B56BFB" w:rsidRDefault="00DC4BE8" w:rsidP="00B14549">
    <w:pPr>
      <w:pStyle w:val="a5"/>
    </w:pPr>
  </w:p>
  <w:p w14:paraId="29629692" w14:textId="77777777" w:rsidR="00DC4BE8" w:rsidRDefault="00DC4BE8" w:rsidP="00B14549">
    <w:pPr>
      <w:pStyle w:val="a5"/>
      <w:tabs>
        <w:tab w:val="clear" w:pos="9355"/>
        <w:tab w:val="right" w:pos="8931"/>
      </w:tabs>
      <w:ind w:right="56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35CC4C" w14:textId="77777777" w:rsidR="000F04EB" w:rsidRDefault="000F04EB" w:rsidP="002900C0">
      <w:pPr>
        <w:spacing w:line="240" w:lineRule="auto"/>
      </w:pPr>
      <w:r>
        <w:separator/>
      </w:r>
    </w:p>
  </w:footnote>
  <w:footnote w:type="continuationSeparator" w:id="0">
    <w:p w14:paraId="187F0124" w14:textId="77777777" w:rsidR="000F04EB" w:rsidRDefault="000F04EB" w:rsidP="002900C0">
      <w:pPr>
        <w:spacing w:line="240" w:lineRule="auto"/>
      </w:pPr>
      <w:r>
        <w:continuationSeparator/>
      </w:r>
    </w:p>
  </w:footnote>
  <w:footnote w:id="1">
    <w:p w14:paraId="7089CF27" w14:textId="343B19D5" w:rsidR="00332724" w:rsidRDefault="00332724">
      <w:pPr>
        <w:pStyle w:val="ab"/>
      </w:pPr>
      <w:r>
        <w:rPr>
          <w:rStyle w:val="ad"/>
        </w:rPr>
        <w:footnoteRef/>
      </w:r>
      <w:r>
        <w:t xml:space="preserve"> Недатированные ссылки относятся к последней версии документа. Датированные ссылки относятся к конкретной версии документа.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A80E5F" w14:textId="77777777" w:rsidR="00DC4BE8" w:rsidRDefault="00DC4BE8" w:rsidP="00CC4B62">
    <w:pPr>
      <w:spacing w:line="240" w:lineRule="auto"/>
    </w:pPr>
  </w:p>
  <w:tbl>
    <w:tblPr>
      <w:tblW w:w="5333" w:type="pct"/>
      <w:tblInd w:w="-743" w:type="dxa"/>
      <w:tblBorders>
        <w:top w:val="single" w:sz="6" w:space="0" w:color="auto"/>
        <w:left w:val="single" w:sz="6" w:space="0" w:color="auto"/>
        <w:bottom w:val="single" w:sz="4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3052"/>
      <w:gridCol w:w="5664"/>
      <w:gridCol w:w="1245"/>
    </w:tblGrid>
    <w:tr w:rsidR="00DC4BE8" w:rsidRPr="00F37714" w14:paraId="5CA3CDC8" w14:textId="77777777" w:rsidTr="00F731F8">
      <w:trPr>
        <w:trHeight w:val="694"/>
      </w:trPr>
      <w:tc>
        <w:tcPr>
          <w:tcW w:w="1532" w:type="pct"/>
          <w:vMerge w:val="restart"/>
          <w:vAlign w:val="center"/>
        </w:tcPr>
        <w:p w14:paraId="193C222A" w14:textId="3FFD62F4" w:rsidR="00DC4BE8" w:rsidRPr="00E10401" w:rsidRDefault="00DC4BE8" w:rsidP="00D663E7">
          <w:pPr>
            <w:pStyle w:val="1"/>
            <w:shd w:val="clear" w:color="auto" w:fill="FFFFFF"/>
            <w:spacing w:before="0" w:after="0"/>
            <w:jc w:val="center"/>
            <w:rPr>
              <w:rFonts w:ascii="OpenSans-Condensed" w:hAnsi="OpenSans-Condensed"/>
              <w:color w:val="1D1D1D"/>
              <w:sz w:val="20"/>
              <w:szCs w:val="20"/>
            </w:rPr>
          </w:pPr>
          <w:r>
            <w:rPr>
              <w:b w:val="0"/>
              <w:noProof/>
              <w:sz w:val="20"/>
            </w:rPr>
            <w:t xml:space="preserve">ЛОГОТИП </w:t>
          </w:r>
          <w:r w:rsidR="00D663E7">
            <w:rPr>
              <w:b w:val="0"/>
              <w:noProof/>
              <w:sz w:val="20"/>
            </w:rPr>
            <w:t>ЕААС</w:t>
          </w:r>
        </w:p>
      </w:tc>
      <w:tc>
        <w:tcPr>
          <w:tcW w:w="2843" w:type="pct"/>
          <w:vAlign w:val="center"/>
        </w:tcPr>
        <w:p w14:paraId="32F75BF5" w14:textId="0601419C" w:rsidR="00F31C46" w:rsidRPr="00CC4B62" w:rsidRDefault="0071592D" w:rsidP="00757A65">
          <w:pPr>
            <w:spacing w:line="240" w:lineRule="auto"/>
            <w:ind w:left="172" w:firstLine="0"/>
            <w:jc w:val="center"/>
            <w:rPr>
              <w:b/>
              <w:noProof/>
              <w:szCs w:val="24"/>
              <w:lang w:eastAsia="ru-RU"/>
            </w:rPr>
          </w:pPr>
          <w:r>
            <w:rPr>
              <w:b/>
              <w:szCs w:val="24"/>
            </w:rPr>
            <w:t>Д</w:t>
          </w:r>
          <w:r w:rsidR="0004059E">
            <w:rPr>
              <w:b/>
              <w:szCs w:val="24"/>
            </w:rPr>
            <w:t>оговорённость о взаимном признании Евразийского сотрудничества по аккредитации</w:t>
          </w:r>
          <w:r w:rsidR="00F31C46">
            <w:rPr>
              <w:b/>
              <w:szCs w:val="24"/>
            </w:rPr>
            <w:t xml:space="preserve">: </w:t>
          </w:r>
          <w:r w:rsidR="00757A65">
            <w:rPr>
              <w:b/>
              <w:szCs w:val="24"/>
            </w:rPr>
            <w:t>процедуры и управление</w:t>
          </w:r>
        </w:p>
      </w:tc>
      <w:tc>
        <w:tcPr>
          <w:tcW w:w="625" w:type="pct"/>
          <w:vMerge w:val="restart"/>
          <w:vAlign w:val="center"/>
        </w:tcPr>
        <w:p w14:paraId="568F9068" w14:textId="77777777" w:rsidR="00DC4BE8" w:rsidRPr="00C1008C" w:rsidRDefault="00DC4BE8" w:rsidP="00CC4B62">
          <w:pPr>
            <w:pStyle w:val="a5"/>
            <w:ind w:firstLine="0"/>
            <w:jc w:val="center"/>
            <w:rPr>
              <w:b/>
              <w:sz w:val="18"/>
              <w:szCs w:val="18"/>
            </w:rPr>
          </w:pPr>
          <w:r w:rsidRPr="00C1008C">
            <w:rPr>
              <w:b/>
              <w:sz w:val="18"/>
              <w:szCs w:val="18"/>
            </w:rPr>
            <w:t xml:space="preserve">стр. </w:t>
          </w:r>
          <w:r w:rsidRPr="00C1008C">
            <w:rPr>
              <w:b/>
              <w:sz w:val="18"/>
              <w:szCs w:val="18"/>
            </w:rPr>
            <w:fldChar w:fldCharType="begin"/>
          </w:r>
          <w:r w:rsidRPr="00C1008C">
            <w:rPr>
              <w:b/>
              <w:sz w:val="18"/>
              <w:szCs w:val="18"/>
            </w:rPr>
            <w:instrText xml:space="preserve"> PAGE </w:instrText>
          </w:r>
          <w:r w:rsidRPr="00C1008C">
            <w:rPr>
              <w:b/>
              <w:sz w:val="18"/>
              <w:szCs w:val="18"/>
            </w:rPr>
            <w:fldChar w:fldCharType="separate"/>
          </w:r>
          <w:r w:rsidR="00456ED4">
            <w:rPr>
              <w:b/>
              <w:noProof/>
              <w:sz w:val="18"/>
              <w:szCs w:val="18"/>
            </w:rPr>
            <w:t>3</w:t>
          </w:r>
          <w:r w:rsidRPr="00C1008C">
            <w:rPr>
              <w:b/>
              <w:sz w:val="18"/>
              <w:szCs w:val="18"/>
            </w:rPr>
            <w:fldChar w:fldCharType="end"/>
          </w:r>
          <w:r w:rsidRPr="00C1008C">
            <w:rPr>
              <w:b/>
              <w:sz w:val="18"/>
              <w:szCs w:val="18"/>
            </w:rPr>
            <w:t xml:space="preserve"> из </w:t>
          </w:r>
          <w:r w:rsidRPr="00C1008C">
            <w:rPr>
              <w:b/>
              <w:sz w:val="18"/>
              <w:szCs w:val="18"/>
            </w:rPr>
            <w:fldChar w:fldCharType="begin"/>
          </w:r>
          <w:r w:rsidRPr="00C1008C">
            <w:rPr>
              <w:b/>
              <w:sz w:val="18"/>
              <w:szCs w:val="18"/>
            </w:rPr>
            <w:instrText xml:space="preserve"> NUMPAGES </w:instrText>
          </w:r>
          <w:r w:rsidRPr="00C1008C">
            <w:rPr>
              <w:b/>
              <w:sz w:val="18"/>
              <w:szCs w:val="18"/>
            </w:rPr>
            <w:fldChar w:fldCharType="separate"/>
          </w:r>
          <w:r w:rsidR="00456ED4">
            <w:rPr>
              <w:b/>
              <w:noProof/>
              <w:sz w:val="18"/>
              <w:szCs w:val="18"/>
            </w:rPr>
            <w:t>8</w:t>
          </w:r>
          <w:r w:rsidRPr="00C1008C">
            <w:rPr>
              <w:b/>
              <w:sz w:val="18"/>
              <w:szCs w:val="18"/>
            </w:rPr>
            <w:fldChar w:fldCharType="end"/>
          </w:r>
        </w:p>
      </w:tc>
    </w:tr>
    <w:tr w:rsidR="00DC4BE8" w:rsidRPr="00F37714" w14:paraId="343BB953" w14:textId="77777777" w:rsidTr="00534166">
      <w:trPr>
        <w:trHeight w:val="563"/>
      </w:trPr>
      <w:tc>
        <w:tcPr>
          <w:tcW w:w="1532" w:type="pct"/>
          <w:vMerge/>
          <w:vAlign w:val="center"/>
        </w:tcPr>
        <w:p w14:paraId="131A4FFE" w14:textId="77777777" w:rsidR="00DC4BE8" w:rsidRPr="00E10401" w:rsidRDefault="00DC4BE8" w:rsidP="00DC4BE8">
          <w:pPr>
            <w:pStyle w:val="1"/>
            <w:shd w:val="clear" w:color="auto" w:fill="FFFFFF"/>
            <w:spacing w:before="0" w:after="0"/>
            <w:jc w:val="center"/>
            <w:rPr>
              <w:rFonts w:ascii="OpenSans-Condensed" w:hAnsi="OpenSans-Condensed"/>
              <w:color w:val="1D1D1D"/>
              <w:sz w:val="20"/>
              <w:szCs w:val="20"/>
            </w:rPr>
          </w:pPr>
        </w:p>
      </w:tc>
      <w:tc>
        <w:tcPr>
          <w:tcW w:w="2843" w:type="pct"/>
          <w:vAlign w:val="center"/>
        </w:tcPr>
        <w:p w14:paraId="737B910C" w14:textId="5CE2CFD1" w:rsidR="00DC4BE8" w:rsidRPr="00C45DB1" w:rsidRDefault="00673FF0" w:rsidP="0057677F">
          <w:pPr>
            <w:ind w:firstLine="0"/>
            <w:jc w:val="center"/>
            <w:rPr>
              <w:b/>
              <w:color w:val="000000"/>
              <w:sz w:val="22"/>
            </w:rPr>
          </w:pPr>
          <w:r>
            <w:rPr>
              <w:b/>
              <w:i/>
              <w:color w:val="000000"/>
              <w:sz w:val="22"/>
            </w:rPr>
            <w:t xml:space="preserve">ЕААС </w:t>
          </w:r>
          <w:r w:rsidR="0004059E">
            <w:rPr>
              <w:b/>
              <w:i/>
              <w:color w:val="000000"/>
              <w:sz w:val="22"/>
            </w:rPr>
            <w:t>МД-0</w:t>
          </w:r>
          <w:r w:rsidR="0057677F">
            <w:rPr>
              <w:b/>
              <w:i/>
              <w:color w:val="000000"/>
              <w:sz w:val="22"/>
            </w:rPr>
            <w:t>3</w:t>
          </w:r>
          <w:r w:rsidR="0004059E">
            <w:rPr>
              <w:b/>
              <w:i/>
              <w:color w:val="000000"/>
              <w:sz w:val="22"/>
            </w:rPr>
            <w:t>_ХХ-ХХ-202Х_01</w:t>
          </w:r>
        </w:p>
      </w:tc>
      <w:tc>
        <w:tcPr>
          <w:tcW w:w="625" w:type="pct"/>
          <w:vMerge/>
          <w:vAlign w:val="center"/>
        </w:tcPr>
        <w:p w14:paraId="66786807" w14:textId="77777777" w:rsidR="00DC4BE8" w:rsidRPr="00C1008C" w:rsidRDefault="00DC4BE8" w:rsidP="00DC4BE8">
          <w:pPr>
            <w:pStyle w:val="a5"/>
            <w:jc w:val="center"/>
            <w:rPr>
              <w:b/>
              <w:sz w:val="18"/>
              <w:szCs w:val="18"/>
            </w:rPr>
          </w:pPr>
        </w:p>
      </w:tc>
    </w:tr>
  </w:tbl>
  <w:p w14:paraId="72416464" w14:textId="734A596B" w:rsidR="00DC4BE8" w:rsidRPr="002900C0" w:rsidRDefault="00DC4BE8">
    <w:pPr>
      <w:pStyle w:val="a3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087B"/>
    <w:multiLevelType w:val="hybridMultilevel"/>
    <w:tmpl w:val="158ACC5E"/>
    <w:lvl w:ilvl="0" w:tplc="02561D2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61C1E1C"/>
    <w:multiLevelType w:val="multilevel"/>
    <w:tmpl w:val="A5F2B386"/>
    <w:lvl w:ilvl="0">
      <w:start w:val="1"/>
      <w:numFmt w:val="decimal"/>
      <w:lvlText w:val="5.%1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192" w:hanging="10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4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52" w:hanging="1800"/>
      </w:pPr>
      <w:rPr>
        <w:rFonts w:hint="default"/>
      </w:rPr>
    </w:lvl>
  </w:abstractNum>
  <w:abstractNum w:abstractNumId="2" w15:restartNumberingAfterBreak="0">
    <w:nsid w:val="08B77BC8"/>
    <w:multiLevelType w:val="hybridMultilevel"/>
    <w:tmpl w:val="CFA0B762"/>
    <w:lvl w:ilvl="0" w:tplc="0D84CAF0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9444F"/>
    <w:multiLevelType w:val="hybridMultilevel"/>
    <w:tmpl w:val="2A88F0CC"/>
    <w:lvl w:ilvl="0" w:tplc="FB5EEC22">
      <w:start w:val="4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51C12"/>
    <w:multiLevelType w:val="hybridMultilevel"/>
    <w:tmpl w:val="3E3833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C5B2225"/>
    <w:multiLevelType w:val="hybridMultilevel"/>
    <w:tmpl w:val="190C4D18"/>
    <w:lvl w:ilvl="0" w:tplc="02561D2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0CAF43CA"/>
    <w:multiLevelType w:val="hybridMultilevel"/>
    <w:tmpl w:val="C828290E"/>
    <w:lvl w:ilvl="0" w:tplc="E4A88A0A">
      <w:start w:val="1"/>
      <w:numFmt w:val="decimal"/>
      <w:lvlText w:val="6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26F64"/>
    <w:multiLevelType w:val="hybridMultilevel"/>
    <w:tmpl w:val="491C4916"/>
    <w:lvl w:ilvl="0" w:tplc="4E66E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1605BE"/>
    <w:multiLevelType w:val="hybridMultilevel"/>
    <w:tmpl w:val="15689C7E"/>
    <w:lvl w:ilvl="0" w:tplc="7450B854">
      <w:start w:val="3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5C1698"/>
    <w:multiLevelType w:val="hybridMultilevel"/>
    <w:tmpl w:val="049E5DF2"/>
    <w:lvl w:ilvl="0" w:tplc="A5E4C094">
      <w:start w:val="1"/>
      <w:numFmt w:val="decimal"/>
      <w:lvlText w:val="3.%1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2697E32"/>
    <w:multiLevelType w:val="hybridMultilevel"/>
    <w:tmpl w:val="14D80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B551F0"/>
    <w:multiLevelType w:val="hybridMultilevel"/>
    <w:tmpl w:val="3022D7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5F03B44"/>
    <w:multiLevelType w:val="hybridMultilevel"/>
    <w:tmpl w:val="DD4A1A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86A51D4"/>
    <w:multiLevelType w:val="hybridMultilevel"/>
    <w:tmpl w:val="D362168C"/>
    <w:lvl w:ilvl="0" w:tplc="0D84CAF0">
      <w:start w:val="1"/>
      <w:numFmt w:val="decimal"/>
      <w:lvlText w:val="4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19F7609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AC47A80"/>
    <w:multiLevelType w:val="hybridMultilevel"/>
    <w:tmpl w:val="CC30E794"/>
    <w:lvl w:ilvl="0" w:tplc="39083EE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EA4257"/>
    <w:multiLevelType w:val="hybridMultilevel"/>
    <w:tmpl w:val="AAB43F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0371118"/>
    <w:multiLevelType w:val="hybridMultilevel"/>
    <w:tmpl w:val="0D62D09A"/>
    <w:lvl w:ilvl="0" w:tplc="02561D2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20574EC9"/>
    <w:multiLevelType w:val="hybridMultilevel"/>
    <w:tmpl w:val="303E0CC6"/>
    <w:lvl w:ilvl="0" w:tplc="BBD8CF00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265D7BD4"/>
    <w:multiLevelType w:val="hybridMultilevel"/>
    <w:tmpl w:val="69D22F00"/>
    <w:lvl w:ilvl="0" w:tplc="02561D2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902A4E"/>
    <w:multiLevelType w:val="hybridMultilevel"/>
    <w:tmpl w:val="2A88F0CC"/>
    <w:lvl w:ilvl="0" w:tplc="FB5EEC22">
      <w:start w:val="4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9E49A7"/>
    <w:multiLevelType w:val="hybridMultilevel"/>
    <w:tmpl w:val="007289E6"/>
    <w:lvl w:ilvl="0" w:tplc="BF7ED5EA">
      <w:start w:val="1"/>
      <w:numFmt w:val="russianLower"/>
      <w:lvlText w:val="%1)"/>
      <w:lvlJc w:val="left"/>
      <w:pPr>
        <w:ind w:left="14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6407C2E"/>
    <w:multiLevelType w:val="hybridMultilevel"/>
    <w:tmpl w:val="635AFA78"/>
    <w:lvl w:ilvl="0" w:tplc="06D43A40">
      <w:start w:val="1"/>
      <w:numFmt w:val="decimal"/>
      <w:lvlText w:val="3.%1"/>
      <w:lvlJc w:val="left"/>
      <w:pPr>
        <w:ind w:left="1068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375900AF"/>
    <w:multiLevelType w:val="hybridMultilevel"/>
    <w:tmpl w:val="058C187A"/>
    <w:lvl w:ilvl="0" w:tplc="4B7A0EC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BB4B4C"/>
    <w:multiLevelType w:val="hybridMultilevel"/>
    <w:tmpl w:val="D4CC29A0"/>
    <w:lvl w:ilvl="0" w:tplc="2E62B2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39A52D04"/>
    <w:multiLevelType w:val="hybridMultilevel"/>
    <w:tmpl w:val="EF02D5F8"/>
    <w:lvl w:ilvl="0" w:tplc="008A28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7FE2CBC"/>
    <w:multiLevelType w:val="hybridMultilevel"/>
    <w:tmpl w:val="701C3E32"/>
    <w:lvl w:ilvl="0" w:tplc="02561D2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8744C66"/>
    <w:multiLevelType w:val="multilevel"/>
    <w:tmpl w:val="92FC39C8"/>
    <w:lvl w:ilvl="0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192" w:hanging="10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4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52" w:hanging="1800"/>
      </w:pPr>
      <w:rPr>
        <w:rFonts w:hint="default"/>
      </w:rPr>
    </w:lvl>
  </w:abstractNum>
  <w:abstractNum w:abstractNumId="28" w15:restartNumberingAfterBreak="0">
    <w:nsid w:val="54B1438E"/>
    <w:multiLevelType w:val="hybridMultilevel"/>
    <w:tmpl w:val="E35825A4"/>
    <w:lvl w:ilvl="0" w:tplc="4F562FA4">
      <w:start w:val="1"/>
      <w:numFmt w:val="decimal"/>
      <w:lvlText w:val="5.%1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9" w15:restartNumberingAfterBreak="0">
    <w:nsid w:val="5DCB0C6C"/>
    <w:multiLevelType w:val="hybridMultilevel"/>
    <w:tmpl w:val="C8A26D82"/>
    <w:lvl w:ilvl="0" w:tplc="BBD8CF00">
      <w:start w:val="1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635216F0"/>
    <w:multiLevelType w:val="hybridMultilevel"/>
    <w:tmpl w:val="716232BC"/>
    <w:lvl w:ilvl="0" w:tplc="8A7C2056">
      <w:start w:val="1"/>
      <w:numFmt w:val="decimal"/>
      <w:lvlText w:val="4.%1"/>
      <w:lvlJc w:val="left"/>
      <w:pPr>
        <w:ind w:left="1068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67D13D9"/>
    <w:multiLevelType w:val="hybridMultilevel"/>
    <w:tmpl w:val="234683D4"/>
    <w:lvl w:ilvl="0" w:tplc="4D1C9A22">
      <w:start w:val="1"/>
      <w:numFmt w:val="decimal"/>
      <w:lvlText w:val="5.1.1%1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2" w15:restartNumberingAfterBreak="0">
    <w:nsid w:val="672B39A9"/>
    <w:multiLevelType w:val="hybridMultilevel"/>
    <w:tmpl w:val="25CEA730"/>
    <w:lvl w:ilvl="0" w:tplc="02561D2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760C0347"/>
    <w:multiLevelType w:val="hybridMultilevel"/>
    <w:tmpl w:val="2B56FA20"/>
    <w:lvl w:ilvl="0" w:tplc="02561D2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0"/>
  </w:num>
  <w:num w:numId="2">
    <w:abstractNumId w:val="7"/>
  </w:num>
  <w:num w:numId="3">
    <w:abstractNumId w:val="29"/>
  </w:num>
  <w:num w:numId="4">
    <w:abstractNumId w:val="18"/>
  </w:num>
  <w:num w:numId="5">
    <w:abstractNumId w:val="27"/>
  </w:num>
  <w:num w:numId="6">
    <w:abstractNumId w:val="5"/>
  </w:num>
  <w:num w:numId="7">
    <w:abstractNumId w:val="0"/>
  </w:num>
  <w:num w:numId="8">
    <w:abstractNumId w:val="32"/>
  </w:num>
  <w:num w:numId="9">
    <w:abstractNumId w:val="26"/>
  </w:num>
  <w:num w:numId="10">
    <w:abstractNumId w:val="33"/>
  </w:num>
  <w:num w:numId="11">
    <w:abstractNumId w:val="21"/>
  </w:num>
  <w:num w:numId="12">
    <w:abstractNumId w:val="17"/>
  </w:num>
  <w:num w:numId="13">
    <w:abstractNumId w:val="20"/>
  </w:num>
  <w:num w:numId="14">
    <w:abstractNumId w:val="3"/>
  </w:num>
  <w:num w:numId="15">
    <w:abstractNumId w:val="23"/>
  </w:num>
  <w:num w:numId="16">
    <w:abstractNumId w:val="19"/>
  </w:num>
  <w:num w:numId="17">
    <w:abstractNumId w:val="8"/>
  </w:num>
  <w:num w:numId="18">
    <w:abstractNumId w:val="24"/>
  </w:num>
  <w:num w:numId="19">
    <w:abstractNumId w:val="22"/>
  </w:num>
  <w:num w:numId="20">
    <w:abstractNumId w:val="30"/>
  </w:num>
  <w:num w:numId="21">
    <w:abstractNumId w:val="9"/>
  </w:num>
  <w:num w:numId="22">
    <w:abstractNumId w:val="25"/>
  </w:num>
  <w:num w:numId="23">
    <w:abstractNumId w:val="2"/>
  </w:num>
  <w:num w:numId="24">
    <w:abstractNumId w:val="15"/>
  </w:num>
  <w:num w:numId="25">
    <w:abstractNumId w:val="28"/>
  </w:num>
  <w:num w:numId="26">
    <w:abstractNumId w:val="16"/>
  </w:num>
  <w:num w:numId="27">
    <w:abstractNumId w:val="31"/>
  </w:num>
  <w:num w:numId="28">
    <w:abstractNumId w:val="11"/>
  </w:num>
  <w:num w:numId="29">
    <w:abstractNumId w:val="14"/>
  </w:num>
  <w:num w:numId="30">
    <w:abstractNumId w:val="13"/>
  </w:num>
  <w:num w:numId="31">
    <w:abstractNumId w:val="1"/>
  </w:num>
  <w:num w:numId="32">
    <w:abstractNumId w:val="6"/>
  </w:num>
  <w:num w:numId="33">
    <w:abstractNumId w:val="4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textFit"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5E0"/>
    <w:rsid w:val="0000108A"/>
    <w:rsid w:val="000106AC"/>
    <w:rsid w:val="00033A1E"/>
    <w:rsid w:val="000365E0"/>
    <w:rsid w:val="000378C6"/>
    <w:rsid w:val="0004059E"/>
    <w:rsid w:val="0004365D"/>
    <w:rsid w:val="0005312E"/>
    <w:rsid w:val="00055C5B"/>
    <w:rsid w:val="000603C9"/>
    <w:rsid w:val="00062F7A"/>
    <w:rsid w:val="00080805"/>
    <w:rsid w:val="00086706"/>
    <w:rsid w:val="00090686"/>
    <w:rsid w:val="00095564"/>
    <w:rsid w:val="00095AFA"/>
    <w:rsid w:val="000A5D05"/>
    <w:rsid w:val="000B157C"/>
    <w:rsid w:val="000C1FFD"/>
    <w:rsid w:val="000C5A2E"/>
    <w:rsid w:val="000D720D"/>
    <w:rsid w:val="000E44DB"/>
    <w:rsid w:val="000E4D0B"/>
    <w:rsid w:val="000F04EB"/>
    <w:rsid w:val="000F2142"/>
    <w:rsid w:val="000F5AA4"/>
    <w:rsid w:val="00100C1A"/>
    <w:rsid w:val="00105502"/>
    <w:rsid w:val="00106262"/>
    <w:rsid w:val="00111683"/>
    <w:rsid w:val="001129F3"/>
    <w:rsid w:val="00117432"/>
    <w:rsid w:val="00121971"/>
    <w:rsid w:val="00123461"/>
    <w:rsid w:val="00126B9B"/>
    <w:rsid w:val="001346CC"/>
    <w:rsid w:val="0016462B"/>
    <w:rsid w:val="001675E5"/>
    <w:rsid w:val="00172AA4"/>
    <w:rsid w:val="001734A4"/>
    <w:rsid w:val="00182392"/>
    <w:rsid w:val="00191B69"/>
    <w:rsid w:val="00197424"/>
    <w:rsid w:val="001A4629"/>
    <w:rsid w:val="001D2206"/>
    <w:rsid w:val="001D3FEC"/>
    <w:rsid w:val="001E5870"/>
    <w:rsid w:val="001E7992"/>
    <w:rsid w:val="001F3863"/>
    <w:rsid w:val="001F595E"/>
    <w:rsid w:val="00226F9B"/>
    <w:rsid w:val="00235844"/>
    <w:rsid w:val="00241184"/>
    <w:rsid w:val="00247106"/>
    <w:rsid w:val="00253EC5"/>
    <w:rsid w:val="00256DB4"/>
    <w:rsid w:val="00265C82"/>
    <w:rsid w:val="00287A0D"/>
    <w:rsid w:val="002900C0"/>
    <w:rsid w:val="002928E8"/>
    <w:rsid w:val="002A21A3"/>
    <w:rsid w:val="002B3CD4"/>
    <w:rsid w:val="002D07E7"/>
    <w:rsid w:val="002D68C4"/>
    <w:rsid w:val="00307792"/>
    <w:rsid w:val="00307FD5"/>
    <w:rsid w:val="00310BE3"/>
    <w:rsid w:val="00313B96"/>
    <w:rsid w:val="00317F79"/>
    <w:rsid w:val="00332724"/>
    <w:rsid w:val="00332EC0"/>
    <w:rsid w:val="00337E44"/>
    <w:rsid w:val="00344E74"/>
    <w:rsid w:val="00345C2A"/>
    <w:rsid w:val="00350385"/>
    <w:rsid w:val="00353133"/>
    <w:rsid w:val="00361D05"/>
    <w:rsid w:val="00373F7A"/>
    <w:rsid w:val="00382617"/>
    <w:rsid w:val="00382B20"/>
    <w:rsid w:val="00385FBA"/>
    <w:rsid w:val="003925E6"/>
    <w:rsid w:val="00392A65"/>
    <w:rsid w:val="00394FCC"/>
    <w:rsid w:val="003A1189"/>
    <w:rsid w:val="003A1A53"/>
    <w:rsid w:val="003A31EA"/>
    <w:rsid w:val="003A6BED"/>
    <w:rsid w:val="003C3E45"/>
    <w:rsid w:val="003C630E"/>
    <w:rsid w:val="003D2362"/>
    <w:rsid w:val="0040788B"/>
    <w:rsid w:val="00416504"/>
    <w:rsid w:val="00433C68"/>
    <w:rsid w:val="00456779"/>
    <w:rsid w:val="00456ED4"/>
    <w:rsid w:val="0046253A"/>
    <w:rsid w:val="00466FD6"/>
    <w:rsid w:val="00475814"/>
    <w:rsid w:val="00476728"/>
    <w:rsid w:val="00485A80"/>
    <w:rsid w:val="004945F2"/>
    <w:rsid w:val="004A1401"/>
    <w:rsid w:val="004A2126"/>
    <w:rsid w:val="004A57AA"/>
    <w:rsid w:val="004C5D76"/>
    <w:rsid w:val="004C725E"/>
    <w:rsid w:val="004C7A05"/>
    <w:rsid w:val="004D0973"/>
    <w:rsid w:val="004D0DF0"/>
    <w:rsid w:val="004E1AF4"/>
    <w:rsid w:val="00500E7D"/>
    <w:rsid w:val="005073D9"/>
    <w:rsid w:val="005279C2"/>
    <w:rsid w:val="00527D73"/>
    <w:rsid w:val="00534166"/>
    <w:rsid w:val="005445D8"/>
    <w:rsid w:val="00546DEB"/>
    <w:rsid w:val="00554FD0"/>
    <w:rsid w:val="005551CC"/>
    <w:rsid w:val="00561D71"/>
    <w:rsid w:val="00561E5B"/>
    <w:rsid w:val="00563476"/>
    <w:rsid w:val="005708A2"/>
    <w:rsid w:val="00571D46"/>
    <w:rsid w:val="0057677F"/>
    <w:rsid w:val="00580828"/>
    <w:rsid w:val="00586044"/>
    <w:rsid w:val="005963DB"/>
    <w:rsid w:val="005A555F"/>
    <w:rsid w:val="005B2055"/>
    <w:rsid w:val="005B2524"/>
    <w:rsid w:val="005B2CFA"/>
    <w:rsid w:val="005C3EBA"/>
    <w:rsid w:val="005E7AB8"/>
    <w:rsid w:val="005E7E91"/>
    <w:rsid w:val="00600AA9"/>
    <w:rsid w:val="00602E0A"/>
    <w:rsid w:val="00610670"/>
    <w:rsid w:val="00620D4B"/>
    <w:rsid w:val="006324F8"/>
    <w:rsid w:val="0063397A"/>
    <w:rsid w:val="006375F9"/>
    <w:rsid w:val="00645045"/>
    <w:rsid w:val="0064564B"/>
    <w:rsid w:val="006469BF"/>
    <w:rsid w:val="006478B1"/>
    <w:rsid w:val="006521FD"/>
    <w:rsid w:val="00656F53"/>
    <w:rsid w:val="00673FF0"/>
    <w:rsid w:val="00693D1B"/>
    <w:rsid w:val="00697D2C"/>
    <w:rsid w:val="006A18D1"/>
    <w:rsid w:val="006B6E76"/>
    <w:rsid w:val="006C3356"/>
    <w:rsid w:val="006C560D"/>
    <w:rsid w:val="006E17CE"/>
    <w:rsid w:val="006F33B1"/>
    <w:rsid w:val="00712EF9"/>
    <w:rsid w:val="0071592D"/>
    <w:rsid w:val="007232EF"/>
    <w:rsid w:val="00740299"/>
    <w:rsid w:val="00751175"/>
    <w:rsid w:val="00754548"/>
    <w:rsid w:val="0075576D"/>
    <w:rsid w:val="00755AD5"/>
    <w:rsid w:val="00756205"/>
    <w:rsid w:val="00757A65"/>
    <w:rsid w:val="00765B48"/>
    <w:rsid w:val="007734D5"/>
    <w:rsid w:val="00796047"/>
    <w:rsid w:val="007B1A31"/>
    <w:rsid w:val="007B1B82"/>
    <w:rsid w:val="007B2402"/>
    <w:rsid w:val="007D64B5"/>
    <w:rsid w:val="007D6C90"/>
    <w:rsid w:val="007E15F1"/>
    <w:rsid w:val="007E2D61"/>
    <w:rsid w:val="007E4EFD"/>
    <w:rsid w:val="007E5C5A"/>
    <w:rsid w:val="007F0533"/>
    <w:rsid w:val="007F3E71"/>
    <w:rsid w:val="00805E06"/>
    <w:rsid w:val="00810265"/>
    <w:rsid w:val="00813E9D"/>
    <w:rsid w:val="00843E20"/>
    <w:rsid w:val="008461A3"/>
    <w:rsid w:val="00851BB1"/>
    <w:rsid w:val="00857106"/>
    <w:rsid w:val="00867DAE"/>
    <w:rsid w:val="008741E3"/>
    <w:rsid w:val="00877A4C"/>
    <w:rsid w:val="008913C3"/>
    <w:rsid w:val="00894427"/>
    <w:rsid w:val="00896FF5"/>
    <w:rsid w:val="008A51C5"/>
    <w:rsid w:val="008E55D1"/>
    <w:rsid w:val="008E631B"/>
    <w:rsid w:val="008E742F"/>
    <w:rsid w:val="008F2447"/>
    <w:rsid w:val="008F3774"/>
    <w:rsid w:val="00901B42"/>
    <w:rsid w:val="00902265"/>
    <w:rsid w:val="00903DC5"/>
    <w:rsid w:val="0090485A"/>
    <w:rsid w:val="00910997"/>
    <w:rsid w:val="00910FE7"/>
    <w:rsid w:val="00917F4E"/>
    <w:rsid w:val="009244D5"/>
    <w:rsid w:val="00951274"/>
    <w:rsid w:val="0096082C"/>
    <w:rsid w:val="00960B1E"/>
    <w:rsid w:val="00970ECE"/>
    <w:rsid w:val="00973469"/>
    <w:rsid w:val="009B262E"/>
    <w:rsid w:val="009B39AF"/>
    <w:rsid w:val="009B6B44"/>
    <w:rsid w:val="009C3A3A"/>
    <w:rsid w:val="009D021E"/>
    <w:rsid w:val="009D7F6B"/>
    <w:rsid w:val="009E00A3"/>
    <w:rsid w:val="009E468F"/>
    <w:rsid w:val="009F168C"/>
    <w:rsid w:val="00A00C34"/>
    <w:rsid w:val="00A27903"/>
    <w:rsid w:val="00A3327A"/>
    <w:rsid w:val="00A37448"/>
    <w:rsid w:val="00A40E16"/>
    <w:rsid w:val="00A47950"/>
    <w:rsid w:val="00A54AFE"/>
    <w:rsid w:val="00A641B6"/>
    <w:rsid w:val="00A80201"/>
    <w:rsid w:val="00AA108D"/>
    <w:rsid w:val="00AA48DB"/>
    <w:rsid w:val="00AA70B5"/>
    <w:rsid w:val="00AB7D28"/>
    <w:rsid w:val="00AC0EC2"/>
    <w:rsid w:val="00AD0B07"/>
    <w:rsid w:val="00AE195A"/>
    <w:rsid w:val="00AE55F3"/>
    <w:rsid w:val="00B02F69"/>
    <w:rsid w:val="00B079C7"/>
    <w:rsid w:val="00B10260"/>
    <w:rsid w:val="00B14549"/>
    <w:rsid w:val="00B214B5"/>
    <w:rsid w:val="00B238AE"/>
    <w:rsid w:val="00B37179"/>
    <w:rsid w:val="00B37DE7"/>
    <w:rsid w:val="00B41521"/>
    <w:rsid w:val="00B516F5"/>
    <w:rsid w:val="00B517F5"/>
    <w:rsid w:val="00B51930"/>
    <w:rsid w:val="00B613B5"/>
    <w:rsid w:val="00B6376C"/>
    <w:rsid w:val="00B67D34"/>
    <w:rsid w:val="00B72052"/>
    <w:rsid w:val="00B80052"/>
    <w:rsid w:val="00B9089E"/>
    <w:rsid w:val="00B93B10"/>
    <w:rsid w:val="00BA1D1C"/>
    <w:rsid w:val="00BB4C89"/>
    <w:rsid w:val="00BB7129"/>
    <w:rsid w:val="00BC2257"/>
    <w:rsid w:val="00BD1FFA"/>
    <w:rsid w:val="00BE418E"/>
    <w:rsid w:val="00BE6938"/>
    <w:rsid w:val="00BF32B0"/>
    <w:rsid w:val="00C0176B"/>
    <w:rsid w:val="00C12C2D"/>
    <w:rsid w:val="00C33665"/>
    <w:rsid w:val="00C55660"/>
    <w:rsid w:val="00C62DA2"/>
    <w:rsid w:val="00C63EC6"/>
    <w:rsid w:val="00C70436"/>
    <w:rsid w:val="00C70F5C"/>
    <w:rsid w:val="00C7157C"/>
    <w:rsid w:val="00C74D9A"/>
    <w:rsid w:val="00CA0B99"/>
    <w:rsid w:val="00CA7724"/>
    <w:rsid w:val="00CB2A12"/>
    <w:rsid w:val="00CC0339"/>
    <w:rsid w:val="00CC4B62"/>
    <w:rsid w:val="00CC70EF"/>
    <w:rsid w:val="00CD663D"/>
    <w:rsid w:val="00CD6A4F"/>
    <w:rsid w:val="00CE6959"/>
    <w:rsid w:val="00CF03F0"/>
    <w:rsid w:val="00D03320"/>
    <w:rsid w:val="00D136FD"/>
    <w:rsid w:val="00D2620E"/>
    <w:rsid w:val="00D4544B"/>
    <w:rsid w:val="00D61DBE"/>
    <w:rsid w:val="00D626D2"/>
    <w:rsid w:val="00D663E7"/>
    <w:rsid w:val="00D830AD"/>
    <w:rsid w:val="00D9022A"/>
    <w:rsid w:val="00D94A4E"/>
    <w:rsid w:val="00DC4BE8"/>
    <w:rsid w:val="00DC5C7D"/>
    <w:rsid w:val="00DD0328"/>
    <w:rsid w:val="00DD1E86"/>
    <w:rsid w:val="00DD718F"/>
    <w:rsid w:val="00DD7356"/>
    <w:rsid w:val="00DF1DAC"/>
    <w:rsid w:val="00DF5B28"/>
    <w:rsid w:val="00DF661F"/>
    <w:rsid w:val="00E02470"/>
    <w:rsid w:val="00E06CD3"/>
    <w:rsid w:val="00E10975"/>
    <w:rsid w:val="00E222DB"/>
    <w:rsid w:val="00E266A7"/>
    <w:rsid w:val="00ED3DA6"/>
    <w:rsid w:val="00ED469B"/>
    <w:rsid w:val="00EE3353"/>
    <w:rsid w:val="00EE5137"/>
    <w:rsid w:val="00EF491D"/>
    <w:rsid w:val="00F12479"/>
    <w:rsid w:val="00F14437"/>
    <w:rsid w:val="00F2247E"/>
    <w:rsid w:val="00F22E93"/>
    <w:rsid w:val="00F247BF"/>
    <w:rsid w:val="00F26F3A"/>
    <w:rsid w:val="00F31C46"/>
    <w:rsid w:val="00F31F5B"/>
    <w:rsid w:val="00F413E5"/>
    <w:rsid w:val="00F50D52"/>
    <w:rsid w:val="00F706EA"/>
    <w:rsid w:val="00F718B4"/>
    <w:rsid w:val="00F71BF4"/>
    <w:rsid w:val="00F729EE"/>
    <w:rsid w:val="00F731F8"/>
    <w:rsid w:val="00FA2C80"/>
    <w:rsid w:val="00FE0CBE"/>
    <w:rsid w:val="00FE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9E6377"/>
  <w15:docId w15:val="{7FDE98F3-EDEE-4B9A-A28C-E2D06E65F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C4B62"/>
    <w:pPr>
      <w:keepNext/>
      <w:spacing w:before="240" w:after="60" w:line="240" w:lineRule="auto"/>
      <w:ind w:firstLine="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900C0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00C0"/>
  </w:style>
  <w:style w:type="paragraph" w:styleId="a5">
    <w:name w:val="footer"/>
    <w:basedOn w:val="a"/>
    <w:link w:val="a6"/>
    <w:unhideWhenUsed/>
    <w:rsid w:val="002900C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rsid w:val="002900C0"/>
  </w:style>
  <w:style w:type="paragraph" w:styleId="a7">
    <w:name w:val="Balloon Text"/>
    <w:basedOn w:val="a"/>
    <w:link w:val="a8"/>
    <w:uiPriority w:val="99"/>
    <w:semiHidden/>
    <w:unhideWhenUsed/>
    <w:rsid w:val="002900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00C0"/>
    <w:rPr>
      <w:rFonts w:ascii="Tahoma" w:hAnsi="Tahoma" w:cs="Tahoma"/>
      <w:sz w:val="16"/>
      <w:szCs w:val="16"/>
    </w:rPr>
  </w:style>
  <w:style w:type="paragraph" w:customStyle="1" w:styleId="a9">
    <w:name w:val="ЛжеЗаголовок"/>
    <w:basedOn w:val="a"/>
    <w:rsid w:val="002900C0"/>
    <w:pPr>
      <w:spacing w:before="240" w:after="240" w:line="240" w:lineRule="auto"/>
      <w:ind w:left="567" w:hanging="567"/>
    </w:pPr>
    <w:rPr>
      <w:rFonts w:ascii="Tahoma" w:eastAsia="Times New Roman" w:hAnsi="Tahoma" w:cs="Times New Roman"/>
      <w:b/>
      <w:sz w:val="22"/>
      <w:szCs w:val="20"/>
      <w:lang w:eastAsia="ru-RU"/>
    </w:rPr>
  </w:style>
  <w:style w:type="paragraph" w:customStyle="1" w:styleId="aa">
    <w:name w:val="!ТекстРА"/>
    <w:basedOn w:val="3"/>
    <w:qFormat/>
    <w:rsid w:val="002900C0"/>
    <w:pPr>
      <w:widowControl w:val="0"/>
      <w:spacing w:after="0" w:line="240" w:lineRule="auto"/>
      <w:jc w:val="both"/>
    </w:pPr>
    <w:rPr>
      <w:rFonts w:eastAsia="Times New Roman" w:cs="Times New Roman"/>
      <w:color w:val="000000"/>
      <w:sz w:val="28"/>
      <w:szCs w:val="24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2900C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900C0"/>
    <w:rPr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382617"/>
    <w:pPr>
      <w:spacing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382617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382617"/>
    <w:rPr>
      <w:vertAlign w:val="superscript"/>
    </w:rPr>
  </w:style>
  <w:style w:type="character" w:customStyle="1" w:styleId="10">
    <w:name w:val="Заголовок 1 Знак"/>
    <w:basedOn w:val="a0"/>
    <w:link w:val="1"/>
    <w:rsid w:val="00CC4B6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e">
    <w:name w:val="TOC Heading"/>
    <w:basedOn w:val="1"/>
    <w:next w:val="a"/>
    <w:uiPriority w:val="39"/>
    <w:unhideWhenUsed/>
    <w:qFormat/>
    <w:rsid w:val="00B14549"/>
    <w:pPr>
      <w:keepLines/>
      <w:spacing w:after="0" w:line="259" w:lineRule="auto"/>
      <w:outlineLvl w:val="9"/>
    </w:pPr>
    <w:rPr>
      <w:rFonts w:ascii="Calibri Light" w:hAnsi="Calibri Light" w:cs="Times New Roman"/>
      <w:b w:val="0"/>
      <w:bCs w:val="0"/>
      <w:color w:val="2E74B5"/>
      <w:kern w:val="0"/>
    </w:rPr>
  </w:style>
  <w:style w:type="character" w:styleId="af">
    <w:name w:val="Hyperlink"/>
    <w:uiPriority w:val="99"/>
    <w:rsid w:val="00D94A4E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F22E93"/>
    <w:pPr>
      <w:tabs>
        <w:tab w:val="left" w:pos="284"/>
        <w:tab w:val="right" w:leader="dot" w:pos="9344"/>
      </w:tabs>
      <w:spacing w:after="100"/>
      <w:ind w:left="284" w:hanging="284"/>
    </w:pPr>
  </w:style>
  <w:style w:type="character" w:styleId="af0">
    <w:name w:val="FollowedHyperlink"/>
    <w:basedOn w:val="a0"/>
    <w:uiPriority w:val="99"/>
    <w:semiHidden/>
    <w:unhideWhenUsed/>
    <w:rsid w:val="00117432"/>
    <w:rPr>
      <w:color w:val="800080" w:themeColor="followedHyperlink"/>
      <w:u w:val="single"/>
    </w:rPr>
  </w:style>
  <w:style w:type="character" w:styleId="af1">
    <w:name w:val="annotation reference"/>
    <w:basedOn w:val="a0"/>
    <w:semiHidden/>
    <w:unhideWhenUsed/>
    <w:rsid w:val="00546DEB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546DEB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546DEB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46DE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46DEB"/>
    <w:rPr>
      <w:b/>
      <w:bCs/>
      <w:sz w:val="20"/>
      <w:szCs w:val="20"/>
    </w:rPr>
  </w:style>
  <w:style w:type="paragraph" w:styleId="af6">
    <w:name w:val="List Paragraph"/>
    <w:basedOn w:val="a"/>
    <w:uiPriority w:val="34"/>
    <w:qFormat/>
    <w:rsid w:val="00416504"/>
    <w:pPr>
      <w:ind w:left="720"/>
      <w:contextualSpacing/>
    </w:pPr>
  </w:style>
  <w:style w:type="paragraph" w:styleId="af7">
    <w:name w:val="endnote text"/>
    <w:basedOn w:val="a"/>
    <w:link w:val="af8"/>
    <w:uiPriority w:val="99"/>
    <w:semiHidden/>
    <w:unhideWhenUsed/>
    <w:rsid w:val="00332724"/>
    <w:pPr>
      <w:spacing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332724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332724"/>
    <w:rPr>
      <w:vertAlign w:val="superscript"/>
    </w:rPr>
  </w:style>
  <w:style w:type="table" w:styleId="afa">
    <w:name w:val="Table Grid"/>
    <w:basedOn w:val="a1"/>
    <w:uiPriority w:val="59"/>
    <w:rsid w:val="00392A6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verTitle">
    <w:name w:val="coverTitle"/>
    <w:basedOn w:val="a"/>
    <w:rsid w:val="00392A65"/>
    <w:pPr>
      <w:spacing w:line="280" w:lineRule="exact"/>
      <w:ind w:left="2268" w:right="2268" w:firstLine="0"/>
      <w:jc w:val="center"/>
    </w:pPr>
    <w:rPr>
      <w:rFonts w:eastAsia="SimSun" w:cs="Times New Roman"/>
      <w:b/>
      <w:sz w:val="22"/>
      <w:szCs w:val="20"/>
      <w:lang w:val="en-AU"/>
    </w:rPr>
  </w:style>
  <w:style w:type="character" w:customStyle="1" w:styleId="FontStyle47">
    <w:name w:val="Font Style47"/>
    <w:uiPriority w:val="99"/>
    <w:rsid w:val="003D2362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1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F7D0D-1D45-450C-AC65-3D0DE8A80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1712</Words>
  <Characters>9763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Мельяченков Алексей Николаевич</dc:creator>
  <cp:lastModifiedBy>Алексей Мельяченков</cp:lastModifiedBy>
  <cp:revision>4</cp:revision>
  <cp:lastPrinted>2017-02-03T12:03:00Z</cp:lastPrinted>
  <dcterms:created xsi:type="dcterms:W3CDTF">2021-10-07T06:04:00Z</dcterms:created>
  <dcterms:modified xsi:type="dcterms:W3CDTF">2021-10-11T12:33:00Z</dcterms:modified>
</cp:coreProperties>
</file>